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3261" w:rsidRDefault="004F254C">
      <w:pPr>
        <w:spacing w:line="360" w:lineRule="auto"/>
        <w:jc w:val="right"/>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projekt</w:t>
      </w:r>
    </w:p>
    <w:p w14:paraId="00000002" w14:textId="77777777" w:rsidR="00EE3261" w:rsidRDefault="004F254C">
      <w:pPr>
        <w:spacing w:line="36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03" w14:textId="77777777" w:rsidR="00EE3261" w:rsidRDefault="004F254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USTAWA</w:t>
      </w:r>
    </w:p>
    <w:p w14:paraId="00000004" w14:textId="77777777" w:rsidR="00EE3261" w:rsidRDefault="004F2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dnia ……… 2024 r.</w:t>
      </w:r>
    </w:p>
    <w:p w14:paraId="00000005" w14:textId="77777777" w:rsidR="00EE3261" w:rsidRDefault="004F254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zmianie ustawy – Kodeks karny</w:t>
      </w:r>
    </w:p>
    <w:p w14:paraId="00000006" w14:textId="77777777" w:rsidR="00EE3261" w:rsidRDefault="004F2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Pr>
          <w:rFonts w:ascii="Times New Roman" w:eastAsia="Times New Roman" w:hAnsi="Times New Roman" w:cs="Times New Roman"/>
          <w:sz w:val="24"/>
          <w:szCs w:val="24"/>
        </w:rPr>
        <w:t xml:space="preserve"> W ustawie z dnia 6 czerwca 1997 r. – Kodeks karny (Dz. U. z 2024 r. poz. 17) wprowadza się następujące zmiany:</w:t>
      </w:r>
    </w:p>
    <w:p w14:paraId="00000008" w14:textId="77777777" w:rsidR="00EE3261" w:rsidRDefault="004F254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152:</w:t>
      </w:r>
    </w:p>
    <w:p w14:paraId="00000009" w14:textId="77777777" w:rsidR="00EE3261" w:rsidRDefault="004F254C">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uchyla się § 1 i 2,</w:t>
      </w:r>
    </w:p>
    <w:p w14:paraId="65F81294" w14:textId="77777777" w:rsidR="00761D71" w:rsidRDefault="004F254C">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otrzymuje brzmienie:</w:t>
      </w:r>
    </w:p>
    <w:p w14:paraId="0000000A" w14:textId="63AFAFCC" w:rsidR="00EE3261" w:rsidRDefault="004F254C" w:rsidP="00761D71">
      <w:pPr>
        <w:spacing w:line="36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Kto</w:t>
      </w:r>
      <w:r>
        <w:rPr>
          <w:rFonts w:ascii="Times New Roman" w:eastAsia="Times New Roman" w:hAnsi="Times New Roman" w:cs="Times New Roman"/>
          <w:sz w:val="24"/>
          <w:szCs w:val="24"/>
        </w:rPr>
        <w:t xml:space="preserve"> za zgodą kobiety przerywa jej ciążę poza przypadkami wskazanymi w ustawie, jeżeli od początku ciąży upłynęło więcej niż 12 tygodni, podlega karze ograniczenia wolności albo pozbawienia wolności do lat 5.”,</w:t>
      </w:r>
    </w:p>
    <w:p w14:paraId="7996238B" w14:textId="77777777" w:rsidR="00761D71" w:rsidRDefault="004F254C">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dodaje się § 4 w brzmieniu:</w:t>
      </w:r>
    </w:p>
    <w:p w14:paraId="0000000B" w14:textId="4F228005" w:rsidR="00EE3261" w:rsidRDefault="004F254C" w:rsidP="00761D71">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4. Nie popełnia p</w:t>
      </w:r>
      <w:r>
        <w:rPr>
          <w:rFonts w:ascii="Times New Roman" w:eastAsia="Times New Roman" w:hAnsi="Times New Roman" w:cs="Times New Roman"/>
          <w:sz w:val="24"/>
          <w:szCs w:val="24"/>
        </w:rPr>
        <w:t>rzestępstwa określonego w § 3 lekarz, pielęgniarka lub położna, jeżeli przerwanie ciąży jest następstwem zastosowania procedury medycznej potrzebnej do uchylenia niebezpieczeństwa grożącego zdrowiu lub życiu kobiety ciężarnej lub gdy badania prenatalne lub</w:t>
      </w:r>
      <w:r>
        <w:rPr>
          <w:rFonts w:ascii="Times New Roman" w:eastAsia="Times New Roman" w:hAnsi="Times New Roman" w:cs="Times New Roman"/>
          <w:sz w:val="24"/>
          <w:szCs w:val="24"/>
        </w:rPr>
        <w:t xml:space="preserve"> inne przesłanki medyczne wskazują na duże prawdopodobieństwo ciężkich i nieodwracalnych wad płodu albo nieuleczalnej choroby zagrażającej jego życiu.”;</w:t>
      </w:r>
    </w:p>
    <w:p w14:paraId="0000000C" w14:textId="77777777" w:rsidR="00EE3261" w:rsidRDefault="004F254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154:</w:t>
      </w:r>
    </w:p>
    <w:p w14:paraId="0000000D" w14:textId="77777777" w:rsidR="00EE3261" w:rsidRDefault="004F254C">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uchyla się § 1,</w:t>
      </w:r>
    </w:p>
    <w:p w14:paraId="32FE1664" w14:textId="77777777" w:rsidR="00761D71" w:rsidRDefault="004F254C">
      <w:pPr>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otrzymuje brzmienie:</w:t>
      </w:r>
    </w:p>
    <w:p w14:paraId="0000000E" w14:textId="6646537F" w:rsidR="00EE3261" w:rsidRDefault="004F254C" w:rsidP="00761D71">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2. Jeżeli następstwem przestępstwa określonego</w:t>
      </w:r>
      <w:r>
        <w:rPr>
          <w:rFonts w:ascii="Times New Roman" w:eastAsia="Times New Roman" w:hAnsi="Times New Roman" w:cs="Times New Roman"/>
          <w:sz w:val="24"/>
          <w:szCs w:val="24"/>
        </w:rPr>
        <w:t xml:space="preserve"> w art. 152 § 3 lub w art. 153 jest śmierć kobiety ciężarnej, sprawca podlega karze pozbawienia wolności od lat 2 do 15.”;</w:t>
      </w:r>
    </w:p>
    <w:p w14:paraId="3890CCC7" w14:textId="77777777" w:rsidR="00761D71" w:rsidRDefault="004F254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157a § 2 otrzymuje brzmienie:</w:t>
      </w:r>
    </w:p>
    <w:p w14:paraId="0000000F" w14:textId="1BAC3598" w:rsidR="00EE3261" w:rsidRDefault="004F254C" w:rsidP="00761D7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Nie popełnia przestępstwa lekarz, pielęgniarka lub położna, jeżeli uszkodzenie ciała lub </w:t>
      </w:r>
      <w:r>
        <w:rPr>
          <w:rFonts w:ascii="Times New Roman" w:eastAsia="Times New Roman" w:hAnsi="Times New Roman" w:cs="Times New Roman"/>
          <w:sz w:val="24"/>
          <w:szCs w:val="24"/>
        </w:rPr>
        <w:t>rozstrój zdrowia dziecka poczętego są następstwem zastosowania procedury medycznej potrzebnej dla uchylenia niebezpieczeństwa grożącego zdrowiu lub życiu kobiety ciężarnej albo dziecka poczętego.”.</w:t>
      </w:r>
    </w:p>
    <w:p w14:paraId="00000010" w14:textId="77777777" w:rsidR="00EE3261" w:rsidRDefault="00EE3261">
      <w:pPr>
        <w:spacing w:line="360" w:lineRule="auto"/>
        <w:ind w:left="720"/>
        <w:jc w:val="both"/>
        <w:rPr>
          <w:rFonts w:ascii="Times New Roman" w:eastAsia="Times New Roman" w:hAnsi="Times New Roman" w:cs="Times New Roman"/>
          <w:sz w:val="24"/>
          <w:szCs w:val="24"/>
        </w:rPr>
      </w:pPr>
    </w:p>
    <w:p w14:paraId="452D797A" w14:textId="38E426E6" w:rsidR="00761D71" w:rsidRDefault="004F254C" w:rsidP="00761D7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 2. </w:t>
      </w:r>
      <w:r>
        <w:rPr>
          <w:rFonts w:ascii="Times New Roman" w:eastAsia="Times New Roman" w:hAnsi="Times New Roman" w:cs="Times New Roman"/>
          <w:sz w:val="24"/>
          <w:szCs w:val="24"/>
          <w:highlight w:val="white"/>
        </w:rPr>
        <w:t>Ust</w:t>
      </w:r>
      <w:r w:rsidR="00BD78B0">
        <w:rPr>
          <w:rFonts w:ascii="Times New Roman" w:eastAsia="Times New Roman" w:hAnsi="Times New Roman" w:cs="Times New Roman"/>
          <w:sz w:val="24"/>
          <w:szCs w:val="24"/>
          <w:highlight w:val="white"/>
        </w:rPr>
        <w:t>awa wchodzi w życie po upływie 3</w:t>
      </w:r>
      <w:r>
        <w:rPr>
          <w:rFonts w:ascii="Times New Roman" w:eastAsia="Times New Roman" w:hAnsi="Times New Roman" w:cs="Times New Roman"/>
          <w:sz w:val="24"/>
          <w:szCs w:val="24"/>
          <w:highlight w:val="white"/>
        </w:rPr>
        <w:t xml:space="preserve">0 dni od dnia </w:t>
      </w:r>
      <w:r>
        <w:rPr>
          <w:rFonts w:ascii="Times New Roman" w:eastAsia="Times New Roman" w:hAnsi="Times New Roman" w:cs="Times New Roman"/>
          <w:sz w:val="24"/>
          <w:szCs w:val="24"/>
          <w:highlight w:val="white"/>
        </w:rPr>
        <w:t>ogłoszenia.</w:t>
      </w:r>
    </w:p>
    <w:p w14:paraId="0000001C" w14:textId="7C9A0B05" w:rsidR="00EE3261" w:rsidRPr="00761D71" w:rsidRDefault="004F254C" w:rsidP="00761D71">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Uzasadnienie</w:t>
      </w:r>
    </w:p>
    <w:p w14:paraId="0000001D" w14:textId="77777777" w:rsidR="00EE3261" w:rsidRDefault="004F254C">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E"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 Polsce obowiązuje wyjątkowo rygorystyczne na tle innych państw europejskich ustawodawstwo antyaborcyjne, związane z funkcjonowaniem </w:t>
      </w:r>
      <w:r>
        <w:rPr>
          <w:rFonts w:ascii="Times New Roman" w:eastAsia="Times New Roman" w:hAnsi="Times New Roman" w:cs="Times New Roman"/>
          <w:sz w:val="24"/>
          <w:szCs w:val="24"/>
        </w:rPr>
        <w:t>ustawy z dnia 7 stycznia 1993 r. o planowaniu rodziny, ochronie płodu ludzkiego i warunkach dop</w:t>
      </w:r>
      <w:r>
        <w:rPr>
          <w:rFonts w:ascii="Times New Roman" w:eastAsia="Times New Roman" w:hAnsi="Times New Roman" w:cs="Times New Roman"/>
          <w:sz w:val="24"/>
          <w:szCs w:val="24"/>
        </w:rPr>
        <w:t xml:space="preserve">uszczalności przerywania ciąży. </w:t>
      </w:r>
      <w:r>
        <w:rPr>
          <w:rFonts w:ascii="Times New Roman" w:eastAsia="Times New Roman" w:hAnsi="Times New Roman" w:cs="Times New Roman"/>
          <w:sz w:val="24"/>
          <w:szCs w:val="24"/>
          <w:highlight w:val="white"/>
        </w:rPr>
        <w:t>Zdecydowana większość państw członkowskich UE od dawna podejmuje działania w celu zapewnienia powszechnego dostępu do bezpiecznej aborcji, co wiąże się również z poszerzeniem zakresu prawnej dopuszczalności przeprowadzania t</w:t>
      </w:r>
      <w:r>
        <w:rPr>
          <w:rFonts w:ascii="Times New Roman" w:eastAsia="Times New Roman" w:hAnsi="Times New Roman" w:cs="Times New Roman"/>
          <w:sz w:val="24"/>
          <w:szCs w:val="24"/>
          <w:highlight w:val="white"/>
        </w:rPr>
        <w:t>ych zabiegów. W 25 z 27 państw członkowskich Unii Europejskiej aborcja na żądanie lub z szeroko rozumianych względów społecznych jest legalna. Polska jest jedynym krajem członkowskim UE, który w najnowszej historii zaostrzył prawo antyaborcyjne, wykluczają</w:t>
      </w:r>
      <w:r>
        <w:rPr>
          <w:rFonts w:ascii="Times New Roman" w:eastAsia="Times New Roman" w:hAnsi="Times New Roman" w:cs="Times New Roman"/>
          <w:sz w:val="24"/>
          <w:szCs w:val="24"/>
          <w:highlight w:val="white"/>
        </w:rPr>
        <w:t xml:space="preserve">c decyzją Trybunału Konstytucyjnego z dnia 22 października 2020 roku możliwość legalnego przerwania ciąży z przyczyn </w:t>
      </w:r>
      <w:proofErr w:type="spellStart"/>
      <w:r>
        <w:rPr>
          <w:rFonts w:ascii="Times New Roman" w:eastAsia="Times New Roman" w:hAnsi="Times New Roman" w:cs="Times New Roman"/>
          <w:sz w:val="24"/>
          <w:szCs w:val="24"/>
          <w:highlight w:val="white"/>
        </w:rPr>
        <w:t>embriopatologicznych</w:t>
      </w:r>
      <w:proofErr w:type="spellEnd"/>
      <w:r>
        <w:rPr>
          <w:rFonts w:ascii="Times New Roman" w:eastAsia="Times New Roman" w:hAnsi="Times New Roman" w:cs="Times New Roman"/>
          <w:sz w:val="24"/>
          <w:szCs w:val="24"/>
          <w:highlight w:val="white"/>
        </w:rPr>
        <w:t xml:space="preserve"> w ramach systemu ochrony zdrowia. Tym samym Polska i Malta są jedynymi krajami zachowującymi restrykcyjne regulacje pr</w:t>
      </w:r>
      <w:r>
        <w:rPr>
          <w:rFonts w:ascii="Times New Roman" w:eastAsia="Times New Roman" w:hAnsi="Times New Roman" w:cs="Times New Roman"/>
          <w:sz w:val="24"/>
          <w:szCs w:val="24"/>
          <w:highlight w:val="white"/>
        </w:rPr>
        <w:t>awne w kwestii przerywania ciąży.</w:t>
      </w:r>
    </w:p>
    <w:p w14:paraId="0000001F"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Projekt ustawy dąży do częściowej dekryminalizacji przerywania za zgodą kobiety jej ciąży z naruszeniem przepisów </w:t>
      </w:r>
      <w:r>
        <w:rPr>
          <w:rFonts w:ascii="Times New Roman" w:eastAsia="Times New Roman" w:hAnsi="Times New Roman" w:cs="Times New Roman"/>
          <w:sz w:val="24"/>
          <w:szCs w:val="24"/>
        </w:rPr>
        <w:t>ustawy o planowaniu rodziny, ochronie płodu ludzkiego i warunkach dopuszczalności przerywania ciąży oraz dek</w:t>
      </w:r>
      <w:r>
        <w:rPr>
          <w:rFonts w:ascii="Times New Roman" w:eastAsia="Times New Roman" w:hAnsi="Times New Roman" w:cs="Times New Roman"/>
          <w:sz w:val="24"/>
          <w:szCs w:val="24"/>
        </w:rPr>
        <w:t xml:space="preserve">ryminalizacji pomocy w samodzielnej aborcji </w:t>
      </w:r>
      <w:r>
        <w:rPr>
          <w:rFonts w:ascii="Times New Roman" w:eastAsia="Times New Roman" w:hAnsi="Times New Roman" w:cs="Times New Roman"/>
          <w:sz w:val="24"/>
          <w:szCs w:val="24"/>
          <w:highlight w:val="white"/>
        </w:rPr>
        <w:t>poprzez następujące zmiany w Kodeksie karnym:</w:t>
      </w:r>
    </w:p>
    <w:p w14:paraId="00000020" w14:textId="77777777" w:rsidR="00EE3261" w:rsidRDefault="004F254C">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uchylenie art. 152 </w:t>
      </w:r>
      <w:r>
        <w:rPr>
          <w:rFonts w:ascii="Times New Roman" w:eastAsia="Times New Roman" w:hAnsi="Times New Roman" w:cs="Times New Roman"/>
          <w:sz w:val="24"/>
          <w:szCs w:val="24"/>
        </w:rPr>
        <w:t>§ 1, zgodnie z którym przerwanie za zgodą kobiety jej ciąży z naruszeniem przepisów ustawy z dnia 7 stycznia 1993 r. o planowaniu rodziny, ochronie</w:t>
      </w:r>
      <w:r>
        <w:rPr>
          <w:rFonts w:ascii="Times New Roman" w:eastAsia="Times New Roman" w:hAnsi="Times New Roman" w:cs="Times New Roman"/>
          <w:sz w:val="24"/>
          <w:szCs w:val="24"/>
        </w:rPr>
        <w:t xml:space="preserve"> płodu ludzkiego i warunkach dopuszczalności przerywania ciąży zagrożone jest karą pozbawienia wolności do lat 3, oraz zmiana brzmienia § 3 w taki sposób, by przerwanie za zgodą kobiety jej ciąży z naruszeniem przepisów ww. ustawy podlegało karze ogranicze</w:t>
      </w:r>
      <w:r>
        <w:rPr>
          <w:rFonts w:ascii="Times New Roman" w:eastAsia="Times New Roman" w:hAnsi="Times New Roman" w:cs="Times New Roman"/>
          <w:sz w:val="24"/>
          <w:szCs w:val="24"/>
        </w:rPr>
        <w:t>nia wolności albo pozbawienia wolności do lat 5 wyłącznie wtedy, gdy od początku ciąży upłynęło więcej niż 12 tygodni;</w:t>
      </w:r>
    </w:p>
    <w:p w14:paraId="00000021" w14:textId="77777777" w:rsidR="00EE3261" w:rsidRDefault="004F254C">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uchylenie art. 152 § 2, zgodnie z którym tej samej karze podlega osoba, która udziela kobiecie ciężarnej pomocy w przerwaniu ciąży z naru</w:t>
      </w:r>
      <w:r>
        <w:rPr>
          <w:rFonts w:ascii="Times New Roman" w:eastAsia="Times New Roman" w:hAnsi="Times New Roman" w:cs="Times New Roman"/>
          <w:sz w:val="24"/>
          <w:szCs w:val="24"/>
        </w:rPr>
        <w:t>szeniem przepisów ww. ustawy (pomocnictwo) lub ją do tego nakłania;</w:t>
      </w:r>
    </w:p>
    <w:p w14:paraId="00000022" w14:textId="77777777" w:rsidR="00EE3261" w:rsidRDefault="004F254C">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dodanie w art. 152 § 4, zgodnie z którym nie popełnia przestępstwa określonego w § 3 lekarz, pielęgniarka lub położna, jeżeli przerwanie ciąży jest następstwem zastosowania procedury medyc</w:t>
      </w:r>
      <w:r>
        <w:rPr>
          <w:rFonts w:ascii="Times New Roman" w:eastAsia="Times New Roman" w:hAnsi="Times New Roman" w:cs="Times New Roman"/>
          <w:sz w:val="24"/>
          <w:szCs w:val="24"/>
        </w:rPr>
        <w:t>znej potrzebnej do uchylenia niebezpieczeństwa grożącego zdrowiu lub życiu kobiety ciężarnej lub gdy badania prenatalne lub inne przesłanki medyczne wskazują na duże prawdopodobieństwo ciężkich i nieodwracalnych wad płodu albo nieuleczalnej choroby zagraża</w:t>
      </w:r>
      <w:r>
        <w:rPr>
          <w:rFonts w:ascii="Times New Roman" w:eastAsia="Times New Roman" w:hAnsi="Times New Roman" w:cs="Times New Roman"/>
          <w:sz w:val="24"/>
          <w:szCs w:val="24"/>
        </w:rPr>
        <w:t>jącej jego życiu;</w:t>
      </w:r>
    </w:p>
    <w:p w14:paraId="00000023" w14:textId="77777777" w:rsidR="00EE3261" w:rsidRDefault="004F254C">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dostosowanie brzmienia art. 154 do projektowanego brzmienia art. 152;</w:t>
      </w:r>
    </w:p>
    <w:p w14:paraId="00000024" w14:textId="77777777" w:rsidR="00EE3261" w:rsidRDefault="004F254C">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uwzględnienie w brzmieniu art. 157a § 2 oprócz lekarzy także pielęgniarek i położnych.</w:t>
      </w:r>
    </w:p>
    <w:p w14:paraId="00000025"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Brzmienie proponowanych zmian w Kodeksie karnym pokrywa się z rozwiązaniami przyj</w:t>
      </w:r>
      <w:r>
        <w:rPr>
          <w:rFonts w:ascii="Times New Roman" w:eastAsia="Times New Roman" w:hAnsi="Times New Roman" w:cs="Times New Roman"/>
          <w:sz w:val="24"/>
          <w:szCs w:val="24"/>
        </w:rPr>
        <w:t>ętymi przez Komisję Nadzwyczajną do rozpatrzenia projektów ustaw dotyczących prawa do przerywania ciąży. Ich wypracowanie poprzedzało m.in. wysłuchanie publiczne z dnia 16 maja 2024 r. Proponowany kształt przepisów podczas prac w Komisji Nadzwyczajnej zysk</w:t>
      </w:r>
      <w:r>
        <w:rPr>
          <w:rFonts w:ascii="Times New Roman" w:eastAsia="Times New Roman" w:hAnsi="Times New Roman" w:cs="Times New Roman"/>
          <w:sz w:val="24"/>
          <w:szCs w:val="24"/>
        </w:rPr>
        <w:t xml:space="preserve">ał aprobatę Ministerstwa Sprawiedliwości. </w:t>
      </w:r>
    </w:p>
    <w:p w14:paraId="00000027"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Podkreślić należy, że przerwanie własnej ciąży z naruszeniem zasad opisanych w ustawy o planowaniu rod</w:t>
      </w:r>
      <w:r>
        <w:rPr>
          <w:rFonts w:ascii="Times New Roman" w:eastAsia="Times New Roman" w:hAnsi="Times New Roman" w:cs="Times New Roman"/>
          <w:sz w:val="24"/>
          <w:szCs w:val="24"/>
        </w:rPr>
        <w:t>ziny, ochronie płodu ludzkiego i warunkach dopuszczalności przerywania ciąży w obecnym porządku prawnym nie wiąże się z negatywnymi konsekwencjami prawnymi dla osoby w ciąży. Przerywając własną ciążę, ciężarna nie popełnia przestępstwa. Ma to szczególne zn</w:t>
      </w:r>
      <w:r>
        <w:rPr>
          <w:rFonts w:ascii="Times New Roman" w:eastAsia="Times New Roman" w:hAnsi="Times New Roman" w:cs="Times New Roman"/>
          <w:sz w:val="24"/>
          <w:szCs w:val="24"/>
        </w:rPr>
        <w:t xml:space="preserve">aczenie w kontekście tego, że aborcja farmakologiczna, która jest rekomendowaną przez Światową Organizację Zdrowia metodą przerywania ciąży przed 12 tygodniem, może zostać wykonana również samodzielnie, w zaciszu własnego domu. </w:t>
      </w:r>
    </w:p>
    <w:p w14:paraId="00000028"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Inaczej natomiast przedstaw</w:t>
      </w:r>
      <w:r>
        <w:rPr>
          <w:rFonts w:ascii="Times New Roman" w:eastAsia="Times New Roman" w:hAnsi="Times New Roman" w:cs="Times New Roman"/>
          <w:sz w:val="24"/>
          <w:szCs w:val="24"/>
        </w:rPr>
        <w:t>ia się sytuacja osób trzecich zaangażowanych w ten proces. W odniesieniu do nich prawo karne przewiduje już bowiem określone w art. 152 i 153 k.k. sankcje karne. Dotyczy to osób przerywających cudzą ciążę, pomagających osobie w ciąży w przerwaniu tej ciąży</w:t>
      </w:r>
      <w:r>
        <w:rPr>
          <w:rFonts w:ascii="Times New Roman" w:eastAsia="Times New Roman" w:hAnsi="Times New Roman" w:cs="Times New Roman"/>
          <w:sz w:val="24"/>
          <w:szCs w:val="24"/>
        </w:rPr>
        <w:t xml:space="preserve"> z naruszeniem przepisów ustawy oraz nakłaniających ją do przerwania ciąży. Osoba przerywająca cudzą ciążę bez wymaganej zgody ciężarnej może podlegać odpowiedzialności karnej na podstawie art. 153 k.k. Natomiast w przypadku przerwania ciąży za zgodą cięża</w:t>
      </w:r>
      <w:r>
        <w:rPr>
          <w:rFonts w:ascii="Times New Roman" w:eastAsia="Times New Roman" w:hAnsi="Times New Roman" w:cs="Times New Roman"/>
          <w:sz w:val="24"/>
          <w:szCs w:val="24"/>
        </w:rPr>
        <w:t>rnej konsekwencją może być odpowiedzialność karna za czyn z art. 152 k.k. W myśl tego przepisu karane jest przerwanie cudzej ciąży z naruszeniem przepisów ustawy za zgodą ciężarnej (§ 1), a także udzielenie ciężarnej pomocy w przerwaniu ciąży z naruszeniem</w:t>
      </w:r>
      <w:r>
        <w:rPr>
          <w:rFonts w:ascii="Times New Roman" w:eastAsia="Times New Roman" w:hAnsi="Times New Roman" w:cs="Times New Roman"/>
          <w:sz w:val="24"/>
          <w:szCs w:val="24"/>
        </w:rPr>
        <w:t xml:space="preserve"> przepisów ustawy lub nakłanianie ją do tego (§ 2). Typem kwalifikowanym do tych czynów jest czyn opisany w § 3 tego przepisu, zgodnie z którym „Kto dopuszcza się czynu określonego w § 1 lub 2, gdy dziecko poczęte osiągnęło zdolność do samodzielnego życia </w:t>
      </w:r>
      <w:r>
        <w:rPr>
          <w:rFonts w:ascii="Times New Roman" w:eastAsia="Times New Roman" w:hAnsi="Times New Roman" w:cs="Times New Roman"/>
          <w:sz w:val="24"/>
          <w:szCs w:val="24"/>
        </w:rPr>
        <w:t>poza organizmem kobiety ciężarnej, podlega karze pozbawienia wolności od 6 miesięcy do lat 8”.</w:t>
      </w:r>
    </w:p>
    <w:p w14:paraId="00000029"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Przedmiotowy projekt nie odnosi się do czynów związanych z przerwaniem ciąży bez zgody ciężarnej, które w ocenie projektodawców nadal powinny być kryminalizowan</w:t>
      </w:r>
      <w:r>
        <w:rPr>
          <w:rFonts w:ascii="Times New Roman" w:eastAsia="Times New Roman" w:hAnsi="Times New Roman" w:cs="Times New Roman"/>
          <w:sz w:val="24"/>
          <w:szCs w:val="24"/>
        </w:rPr>
        <w:t>e. Znajduje to również uzasadnienie w art. 39 Konwencji Rady Europy o zapobieganiu i zwalczaniu przemocy wobec kobiet i przemocy domowej, sporządzonej w Stambule dnia 11 maja 2011 r. (Dz. U. z 2015 r. poz. 961).</w:t>
      </w:r>
    </w:p>
    <w:p w14:paraId="0000002A"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 odmienny sposób należy jednak ocenić zasa</w:t>
      </w:r>
      <w:r>
        <w:rPr>
          <w:rFonts w:ascii="Times New Roman" w:eastAsia="Times New Roman" w:hAnsi="Times New Roman" w:cs="Times New Roman"/>
          <w:sz w:val="24"/>
          <w:szCs w:val="24"/>
        </w:rPr>
        <w:t>dność kryminalizacji zabiegów przerywania ciąży za zgodą ciężarnej, a także kryminalizację pomocy w aborcji, które to zachowania zostały objęte normami wyrażonymi w art. 152 k.k. W tym przypadku bowiem nie występują podstawy do tak daleko idącej ingerencji</w:t>
      </w:r>
      <w:r>
        <w:rPr>
          <w:rFonts w:ascii="Times New Roman" w:eastAsia="Times New Roman" w:hAnsi="Times New Roman" w:cs="Times New Roman"/>
          <w:sz w:val="24"/>
          <w:szCs w:val="24"/>
        </w:rPr>
        <w:t xml:space="preserve"> państwa w życie jednostek. Regulacja zawarta w tych przepisach nie spełnia aktualnie wymogów z art. 31 ust. 3 Konstytucji RP, który wyznacza granice ingerencji państwa w wolności i prawa określone w Konstytucji.</w:t>
      </w:r>
    </w:p>
    <w:p w14:paraId="0000002B"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Zgodnie z art. 31 ust. 3 Konstytucji RP: </w:t>
      </w:r>
      <w:r>
        <w:rPr>
          <w:rFonts w:ascii="Times New Roman" w:eastAsia="Times New Roman" w:hAnsi="Times New Roman" w:cs="Times New Roman"/>
          <w:sz w:val="24"/>
          <w:szCs w:val="24"/>
        </w:rPr>
        <w:t>„Ograniczenia w zakresie korzystania z konstytucyjnych wolności i praw mogą być ustanawiane tylko w ustawie i tylko wtedy, gdy są konieczne w demokratycznym państwie dla jego bezpieczeństwa lub porządku publicznego, bądź dla ochrony środowiska, zdrowia i m</w:t>
      </w:r>
      <w:r>
        <w:rPr>
          <w:rFonts w:ascii="Times New Roman" w:eastAsia="Times New Roman" w:hAnsi="Times New Roman" w:cs="Times New Roman"/>
          <w:sz w:val="24"/>
          <w:szCs w:val="24"/>
        </w:rPr>
        <w:t>oralności publicznej, albo wolności i praw innych osób. Ograniczenia te nie mogą naruszać istoty wolności i praw”. Kluczowe znaczenie dla wyznaczania dopuszczalności ograniczeń wolności i praw konstytucyjnych ma sformułowanie „tylko wtedy, gdy są konieczne</w:t>
      </w:r>
      <w:r>
        <w:rPr>
          <w:rFonts w:ascii="Times New Roman" w:eastAsia="Times New Roman" w:hAnsi="Times New Roman" w:cs="Times New Roman"/>
          <w:sz w:val="24"/>
          <w:szCs w:val="24"/>
        </w:rPr>
        <w:t xml:space="preserve"> w demokratycznym państwie”. Stanowi ono podstawę zasady proporcjonalności. Zasada ta składa się z trzech zasad szczegółowych, które tworzą tzw. test proporcjonalności. Pierwszą z nich jest zasada przydatności, w myśl której ograniczenie praw konstytucyjny</w:t>
      </w:r>
      <w:r>
        <w:rPr>
          <w:rFonts w:ascii="Times New Roman" w:eastAsia="Times New Roman" w:hAnsi="Times New Roman" w:cs="Times New Roman"/>
          <w:sz w:val="24"/>
          <w:szCs w:val="24"/>
        </w:rPr>
        <w:t>ch jest dopuszczalne tylko przy użyciu środków prawnych, za pomocą których można zrealizować cel usprawiedliwiający ograniczenie praw i wolności</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Jak wskazano w orzeczeniu TK z dnia 8 lipca 2008 r.</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„wprowadzane ograniczenia muszą bezpośrednio realizować</w:t>
      </w:r>
      <w:r>
        <w:rPr>
          <w:rFonts w:ascii="Times New Roman" w:eastAsia="Times New Roman" w:hAnsi="Times New Roman" w:cs="Times New Roman"/>
          <w:sz w:val="24"/>
          <w:szCs w:val="24"/>
        </w:rPr>
        <w:t xml:space="preserve"> zakładany cel, a nie jedynie ułatwiać jego osiągnięcie”. Drugą z nich jest zasada najłagodniejszego środka, zwana też zasadą konieczności, która zakłada, że jeśli istnieje kilka możliwych sposobów ograniczenia danego prawa konstytucyjnego ze względu na ko</w:t>
      </w:r>
      <w:r>
        <w:rPr>
          <w:rFonts w:ascii="Times New Roman" w:eastAsia="Times New Roman" w:hAnsi="Times New Roman" w:cs="Times New Roman"/>
          <w:sz w:val="24"/>
          <w:szCs w:val="24"/>
        </w:rPr>
        <w:t>nstytucyjnie usprawiedliwiony cel, należy wybrać środek jak najmniej uciążliwy. Przede wszystkim trzeba uniknąć sytuacji, w której środek prawny ograniczający w sposób uzasadniony wolność lub prawo konstytucyjne osoby powoduje równocześnie ograniczenie inn</w:t>
      </w:r>
      <w:r>
        <w:rPr>
          <w:rFonts w:ascii="Times New Roman" w:eastAsia="Times New Roman" w:hAnsi="Times New Roman" w:cs="Times New Roman"/>
          <w:sz w:val="24"/>
          <w:szCs w:val="24"/>
        </w:rPr>
        <w:t xml:space="preserve">ych praw. Trzecim elementem zasady proporcjonalności jest zasada proporcjonalności </w:t>
      </w:r>
      <w:r>
        <w:rPr>
          <w:rFonts w:ascii="Times New Roman" w:eastAsia="Times New Roman" w:hAnsi="Times New Roman" w:cs="Times New Roman"/>
          <w:i/>
          <w:sz w:val="24"/>
          <w:szCs w:val="24"/>
        </w:rPr>
        <w:t>sensu stricto</w:t>
      </w:r>
      <w:r>
        <w:rPr>
          <w:rFonts w:ascii="Times New Roman" w:eastAsia="Times New Roman" w:hAnsi="Times New Roman" w:cs="Times New Roman"/>
          <w:sz w:val="24"/>
          <w:szCs w:val="24"/>
        </w:rPr>
        <w:t>. Polega ona na ważeniu dwóch lub więcej kolidujących ze sobą zasad i wskazaniu, która z nich w danych okolicznościach faktycznych i prawnych powinna mieć pierw</w:t>
      </w:r>
      <w:r>
        <w:rPr>
          <w:rFonts w:ascii="Times New Roman" w:eastAsia="Times New Roman" w:hAnsi="Times New Roman" w:cs="Times New Roman"/>
          <w:sz w:val="24"/>
          <w:szCs w:val="24"/>
        </w:rPr>
        <w:t>szeństwo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W przypadku kryminalizacji wszystkich zabiegów przerwania ciąży za zgodą ciężarnej wykonanych z naruszeniem przepisów ustawy z 1993 r. oraz udzielania ciężarnej pomocy w aborcji nie zostaje spełniony wymóg przydatności i konieczności ograniczeń.</w:t>
      </w:r>
      <w:r>
        <w:rPr>
          <w:rFonts w:ascii="Times New Roman" w:eastAsia="Times New Roman" w:hAnsi="Times New Roman" w:cs="Times New Roman"/>
          <w:sz w:val="24"/>
          <w:szCs w:val="24"/>
        </w:rPr>
        <w:t xml:space="preserve"> Nie sposób jest też uznać tych działań za działania społecznie szkodliwe w stopniu uzasadniającym ich kryminalizację, ponieważ dotyczą one realizacji przez ciężarną jej podstawowych praw człowieka.</w:t>
      </w:r>
    </w:p>
    <w:p w14:paraId="0000002C"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Uzasadniając potrzebę wprowadzenia proponowanych zmian d</w:t>
      </w:r>
      <w:r>
        <w:rPr>
          <w:rFonts w:ascii="Times New Roman" w:eastAsia="Times New Roman" w:hAnsi="Times New Roman" w:cs="Times New Roman"/>
          <w:sz w:val="24"/>
          <w:szCs w:val="24"/>
        </w:rPr>
        <w:t xml:space="preserve">o art. 152 k.k., w pierwszej kolejności należy podnieść, że aktualnie obowiązujące przepisy dotyczące przerywania ciąży są przestarzałe, nie uwzględniają postępu medycznego – przy ich uchwalaniu nie uwzględniono istnienia aborcji farmakologicznej, która w </w:t>
      </w:r>
      <w:r>
        <w:rPr>
          <w:rFonts w:ascii="Times New Roman" w:eastAsia="Times New Roman" w:hAnsi="Times New Roman" w:cs="Times New Roman"/>
          <w:sz w:val="24"/>
          <w:szCs w:val="24"/>
        </w:rPr>
        <w:t>Polsce stosowana jest od 2000 r. – oraz istotnych zmian społecznych, a także dyskryminują osoby, które mogą zajść w ciążę.</w:t>
      </w:r>
    </w:p>
    <w:p w14:paraId="0000002D"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 drugie zauważyć trzeba, że obecny kształt unormowań dotyczących karalności aborcji za zgodą ciężarnej nie prowadzi nawet do osiąg</w:t>
      </w:r>
      <w:r>
        <w:rPr>
          <w:rFonts w:ascii="Times New Roman" w:eastAsia="Times New Roman" w:hAnsi="Times New Roman" w:cs="Times New Roman"/>
          <w:sz w:val="24"/>
          <w:szCs w:val="24"/>
        </w:rPr>
        <w:t>nięcia celów zamierzonych przez ustawodawcę, to jest nie ogranicza w istotny sposób liczby terminowanych ciąż. Obowiązujące przepisy przyczyniają się przede wszystkim do ograniczenia (utrudnienia) dostępu do bezpiecznych metod przerywania ciąży. Rzeczywist</w:t>
      </w:r>
      <w:r>
        <w:rPr>
          <w:rFonts w:ascii="Times New Roman" w:eastAsia="Times New Roman" w:hAnsi="Times New Roman" w:cs="Times New Roman"/>
          <w:sz w:val="24"/>
          <w:szCs w:val="24"/>
        </w:rPr>
        <w:t>a liczba aborcji przeprowadzanych w Polsce – z uwagi na występującą stygmatyzację tej procedury oraz szerokie stosowanie aborcji farmakologicznej poza systemem ochrony zdrowia – wymyka się oficjalnym statystykom i być może nigdy nie zostanie poznana. Przyp</w:t>
      </w:r>
      <w:r>
        <w:rPr>
          <w:rFonts w:ascii="Times New Roman" w:eastAsia="Times New Roman" w:hAnsi="Times New Roman" w:cs="Times New Roman"/>
          <w:sz w:val="24"/>
          <w:szCs w:val="24"/>
        </w:rPr>
        <w:t>uszczać jednak można, że aktualnie najczęściej spotykaną ze wszystkich możliwości jest sytuacja, w której osoba w ciąży, posiłkując się zdobytą samodzielnie wiedzą i środkami farmakologicznymi, przerywa własną ciążę samodzielnie w domu</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Dopiero w przypadku, gdy samodzielna aborcja domowa z różnych przyczyn nie jest możliwa, do przerwania ciąży dochodzi z udziałem osób trzecich, z wykorzystaniem legalnych możliwości przeprowadzenia aborcji za granicą lub w ramach tzw. „podziemia aborcyjn</w:t>
      </w:r>
      <w:r>
        <w:rPr>
          <w:rFonts w:ascii="Times New Roman" w:eastAsia="Times New Roman" w:hAnsi="Times New Roman" w:cs="Times New Roman"/>
          <w:sz w:val="24"/>
          <w:szCs w:val="24"/>
        </w:rPr>
        <w:t>ego” (którego rola jest dziś już znacznie mniejsza niż przed laty). Aktualne brzmienie art. 152 k.k. zmusza ciężarne do poszukiwania dostępu do aborcji poza systemem ochrony zdrowia. Wiąże się to jednak niekiedy z tym, że korzystają one z mniej bezpiecznyc</w:t>
      </w:r>
      <w:r>
        <w:rPr>
          <w:rFonts w:ascii="Times New Roman" w:eastAsia="Times New Roman" w:hAnsi="Times New Roman" w:cs="Times New Roman"/>
          <w:sz w:val="24"/>
          <w:szCs w:val="24"/>
        </w:rPr>
        <w:t xml:space="preserve">h metod przerywania ciąży, zwłaszcza jeśli  nie mają możliwości nabycia leków do aborcji farmakologicznej lub nie stać ich na zabieg za granicą. Kryminalizacja tych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nie zmniejsza liczby aborcji, a jedynie wpływa na dostęp do bezpiecznych metod prz</w:t>
      </w:r>
      <w:r>
        <w:rPr>
          <w:rFonts w:ascii="Times New Roman" w:eastAsia="Times New Roman" w:hAnsi="Times New Roman" w:cs="Times New Roman"/>
          <w:sz w:val="24"/>
          <w:szCs w:val="24"/>
        </w:rPr>
        <w:t>erywania ciąży.</w:t>
      </w:r>
    </w:p>
    <w:p w14:paraId="0000002E"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Aktualne brzmienie art. 152 k.k. w praktyce wywołuje także silny efekt mrożący, oddziałujący na lekarzy i personel medyczny. Obawa przed ewentualną odpowiedzialnością karną negatywnie wpływa na wykonywanie przez nich zawodu. Niekiedy prowa</w:t>
      </w:r>
      <w:r>
        <w:rPr>
          <w:rFonts w:ascii="Times New Roman" w:eastAsia="Times New Roman" w:hAnsi="Times New Roman" w:cs="Times New Roman"/>
          <w:sz w:val="24"/>
          <w:szCs w:val="24"/>
        </w:rPr>
        <w:t xml:space="preserve">dzi to nawet do zaprzestania lub zwlekania z udzieleniem pomocy ciężarnej, co może skutkować, a niekiedy skutkuje, jej śmiercią. Problemy w tym zakresie pojawiają się nawet już przy samym udzielaniu informacji o stanie zdrowia pacjentki, czy możliwościach </w:t>
      </w:r>
      <w:r>
        <w:rPr>
          <w:rFonts w:ascii="Times New Roman" w:eastAsia="Times New Roman" w:hAnsi="Times New Roman" w:cs="Times New Roman"/>
          <w:sz w:val="24"/>
          <w:szCs w:val="24"/>
        </w:rPr>
        <w:t>przerwania ciąży. Personel medyczny obawia się w tym zakresie odpowiedzialności za pomoc w aborcji lub nakłanianie do aborcji. Brak jasnego sprecyzowania pojęć użytych w art. 152 k.k. dodatkowo potęguję te obawy.</w:t>
      </w:r>
    </w:p>
    <w:p w14:paraId="0000002F"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Efekt mrożący może ograniczać także działa</w:t>
      </w:r>
      <w:r>
        <w:rPr>
          <w:rFonts w:ascii="Times New Roman" w:eastAsia="Times New Roman" w:hAnsi="Times New Roman" w:cs="Times New Roman"/>
          <w:sz w:val="24"/>
          <w:szCs w:val="24"/>
        </w:rPr>
        <w:t>nia lekarzy podejmowanie wobec płodu, w celu ochrony jego zdrowia lub życia. Lekarze boją się bowiem także wykonywać szczegółowej diagnostyki prenatalnej, a tym samym uniemożliwiają szybką diagnozę i podjęcie za zgodą osoby w ciąży działań ratujących płód,</w:t>
      </w:r>
      <w:r>
        <w:rPr>
          <w:rFonts w:ascii="Times New Roman" w:eastAsia="Times New Roman" w:hAnsi="Times New Roman" w:cs="Times New Roman"/>
          <w:sz w:val="24"/>
          <w:szCs w:val="24"/>
        </w:rPr>
        <w:t xml:space="preserve"> np. operacji serca płodu.</w:t>
      </w:r>
    </w:p>
    <w:p w14:paraId="00000030" w14:textId="3925E2A3"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Do ww. efektu mrożącego, wywołanego przez art. 152 k.k. odniósł się także Europejski Trybunał Praw Człowieka. W wyroku R.R</w:t>
      </w:r>
      <w:r>
        <w:rPr>
          <w:rFonts w:ascii="Times New Roman" w:eastAsia="Times New Roman" w:hAnsi="Times New Roman" w:cs="Times New Roman"/>
          <w:sz w:val="24"/>
          <w:szCs w:val="24"/>
        </w:rPr>
        <w:t>. przeciwko Polsce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wskazano, że „restrykcje prawne dotyczące aborcji w Polsce, łącznie z zagrożeniem odpo</w:t>
      </w:r>
      <w:r>
        <w:rPr>
          <w:rFonts w:ascii="Times New Roman" w:eastAsia="Times New Roman" w:hAnsi="Times New Roman" w:cs="Times New Roman"/>
          <w:sz w:val="24"/>
          <w:szCs w:val="24"/>
        </w:rPr>
        <w:t>wiedzialności karnej z art. 152 § 1 Kodeksu karnego, mogą powodować u lekarzy tzw. efekt mrożący podczas decydowania o tym, czy przesłanki do legalnej aborcji są danym przypadku spełnione”. Wystąpienie tego efektu prowadzić może zatem do arbitralnego odmów</w:t>
      </w:r>
      <w:r>
        <w:rPr>
          <w:rFonts w:ascii="Times New Roman" w:eastAsia="Times New Roman" w:hAnsi="Times New Roman" w:cs="Times New Roman"/>
          <w:sz w:val="24"/>
          <w:szCs w:val="24"/>
        </w:rPr>
        <w:t>ienia przez lekarzy wykonywania zabiegów przerywania ciąży nawet po spełnieniu wymogów ustawowych oraz dążenia do tego, by ich nie wykonywać (np. poprzez sztuczne przedłużanie procedur diagnostycznych lub administracyjnych). Takie sytuacje są niedopuszczal</w:t>
      </w:r>
      <w:r>
        <w:rPr>
          <w:rFonts w:ascii="Times New Roman" w:eastAsia="Times New Roman" w:hAnsi="Times New Roman" w:cs="Times New Roman"/>
          <w:sz w:val="24"/>
          <w:szCs w:val="24"/>
        </w:rPr>
        <w:t>ne, a więc podjęcie kroków zmierzających do ich wyeliminowania uznać należy za uzasadnione.</w:t>
      </w:r>
    </w:p>
    <w:p w14:paraId="00000031"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Obowiązujące przepisy przewidują również karalność osób pomagających ciężarnej w przerwaniu ciąży. Aktualnie dotyczy to w szczególności osób najbliższych (partneró</w:t>
      </w:r>
      <w:r>
        <w:rPr>
          <w:rFonts w:ascii="Times New Roman" w:eastAsia="Times New Roman" w:hAnsi="Times New Roman" w:cs="Times New Roman"/>
          <w:sz w:val="24"/>
          <w:szCs w:val="24"/>
        </w:rPr>
        <w:t>w, rodziców, rodzeństwa czy przyjaciółek ciężarnej), którzy przekazują swoim bliskim tabletki do wykonania aborcji farmakologicznej lub środki finansowe na ten cel. Analizowany przepis powoduje, że kobiety boją się prosić o jakiekolwiek wsparcie przy aborc</w:t>
      </w:r>
      <w:r>
        <w:rPr>
          <w:rFonts w:ascii="Times New Roman" w:eastAsia="Times New Roman" w:hAnsi="Times New Roman" w:cs="Times New Roman"/>
          <w:sz w:val="24"/>
          <w:szCs w:val="24"/>
        </w:rPr>
        <w:t>ji – materialne, emocjonalne czy informacyjne. W efekcie kobieta w niechcianej ciąży, podejmująca działania niepodlegające karze, jest de facto karana strachem i samotnością, pozbawiona wsparcia ze strony najbliższych i rzetelnych informacji na temat aborc</w:t>
      </w:r>
      <w:r>
        <w:rPr>
          <w:rFonts w:ascii="Times New Roman" w:eastAsia="Times New Roman" w:hAnsi="Times New Roman" w:cs="Times New Roman"/>
          <w:sz w:val="24"/>
          <w:szCs w:val="24"/>
        </w:rPr>
        <w:t>ji. Żadna osoba nie powinna być jednak pozostawiona w takiej sytuacji sama, bez dostępu do wsparcia ze strony najbliższych i ze strony systemu ochrony zdrowia.</w:t>
      </w:r>
    </w:p>
    <w:p w14:paraId="00000032"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Aktualne regulacje dot. zasad wykonywania zawodu lekarza i ich ewentualnej odpowiedzialności ka</w:t>
      </w:r>
      <w:r>
        <w:rPr>
          <w:rFonts w:ascii="Times New Roman" w:eastAsia="Times New Roman" w:hAnsi="Times New Roman" w:cs="Times New Roman"/>
          <w:sz w:val="24"/>
          <w:szCs w:val="24"/>
        </w:rPr>
        <w:t>rnej i etycznej są przy tym wystarczające dla zapewnienia ochrony praw osób w ciąży oraz dla zapewnienia prawidłowości wykonywania zabiegów przerywania ciąży zgodnie z ustawą. Nie ma zatem potrzeby i konieczności dodatkowego regulowania normami karnymi dzi</w:t>
      </w:r>
      <w:r>
        <w:rPr>
          <w:rFonts w:ascii="Times New Roman" w:eastAsia="Times New Roman" w:hAnsi="Times New Roman" w:cs="Times New Roman"/>
          <w:sz w:val="24"/>
          <w:szCs w:val="24"/>
        </w:rPr>
        <w:t>ałalności lekarzy związanej z przerywaniem ciąży za zgodą ciężarnej.</w:t>
      </w:r>
    </w:p>
    <w:p w14:paraId="00000033"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Biorąc powyższe pod uwagę, uznać należy, że kryminalizacja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opisanych w art. 152 § 1 i § 2 k.k. aktualnie nie znajduje dostatecznego uzasadnienia, w szczególności z uwagi na to, </w:t>
      </w:r>
      <w:r>
        <w:rPr>
          <w:rFonts w:ascii="Times New Roman" w:eastAsia="Times New Roman" w:hAnsi="Times New Roman" w:cs="Times New Roman"/>
          <w:sz w:val="24"/>
          <w:szCs w:val="24"/>
        </w:rPr>
        <w:t>że nie pomaga osiągnąć zamierzonego przez ustawodawcę celu (nie ogranicza liczby aborcji) oraz w sposób nieuprawniony ogranicza możliwość korzystania z podstawowych praw człowieka.</w:t>
      </w:r>
    </w:p>
    <w:p w14:paraId="00000034" w14:textId="661F5ACD"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Podkreślić także wypada, że dekryminalizacja aborcji przeprowadzonej za zg</w:t>
      </w:r>
      <w:r>
        <w:rPr>
          <w:rFonts w:ascii="Times New Roman" w:eastAsia="Times New Roman" w:hAnsi="Times New Roman" w:cs="Times New Roman"/>
          <w:sz w:val="24"/>
          <w:szCs w:val="24"/>
        </w:rPr>
        <w:t>odą ciężarnej objęta jest konsensusem regionalnym w zakresie wprowadzanych regulacji prawnych. Przez ostatnie 80 lat dominującym trend</w:t>
      </w:r>
      <w:r w:rsidR="007F67B1">
        <w:rPr>
          <w:rFonts w:ascii="Times New Roman" w:eastAsia="Times New Roman" w:hAnsi="Times New Roman" w:cs="Times New Roman"/>
          <w:sz w:val="24"/>
          <w:szCs w:val="24"/>
        </w:rPr>
        <w:t>em wśród krajów europejskich był</w:t>
      </w:r>
      <w:r>
        <w:rPr>
          <w:rFonts w:ascii="Times New Roman" w:eastAsia="Times New Roman" w:hAnsi="Times New Roman" w:cs="Times New Roman"/>
          <w:sz w:val="24"/>
          <w:szCs w:val="24"/>
        </w:rPr>
        <w:t>o legalizowanie dostępu do aborcji wykonywanej bez podawania przez pacjentkę powodu lub na</w:t>
      </w:r>
      <w:r>
        <w:rPr>
          <w:rFonts w:ascii="Times New Roman" w:eastAsia="Times New Roman" w:hAnsi="Times New Roman" w:cs="Times New Roman"/>
          <w:sz w:val="24"/>
          <w:szCs w:val="24"/>
        </w:rPr>
        <w:t xml:space="preserve"> podstawie szeroko pojętej przesłanki społecznej. Prawie wszystkie kraje europejskie pozwalają obecnie na przeprowadzenie aborcji motywowanej takimi szerokimi przesłankami. Tylko 5 krajów (Andora, Liechtenstein, Malta, Monako i Polska) nie zezwala na przep</w:t>
      </w:r>
      <w:r>
        <w:rPr>
          <w:rFonts w:ascii="Times New Roman" w:eastAsia="Times New Roman" w:hAnsi="Times New Roman" w:cs="Times New Roman"/>
          <w:sz w:val="24"/>
          <w:szCs w:val="24"/>
        </w:rPr>
        <w:t>rowadzenie aborcji bez podawania powodu lub ze względu na szeroko definiowane przesłanki społeczne. Polska i Malta to jedyne państwa członkowskie UE, które nie zreformowały jeszcze swoich wysoce restrykcyjnych przepisów antyaborcyjnych. Polska jest jedynym</w:t>
      </w:r>
      <w:r>
        <w:rPr>
          <w:rFonts w:ascii="Times New Roman" w:eastAsia="Times New Roman" w:hAnsi="Times New Roman" w:cs="Times New Roman"/>
          <w:sz w:val="24"/>
          <w:szCs w:val="24"/>
        </w:rPr>
        <w:t xml:space="preserve"> państwem członkowskim UE, które w ostatnim czasie, za sprawą orzeczenia Trybunału Konstytucyjnego z 2020 roku, usunęło ze swojego prawa jedną z podstaw prawnych do przeprowadzania aborcji.</w:t>
      </w:r>
    </w:p>
    <w:p w14:paraId="00000035" w14:textId="3CA5A685"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Światowa Organizacja Zdrowia w marcu 2022 r. opublikowała obszern</w:t>
      </w:r>
      <w:r>
        <w:rPr>
          <w:rFonts w:ascii="Times New Roman" w:eastAsia="Times New Roman" w:hAnsi="Times New Roman" w:cs="Times New Roman"/>
          <w:sz w:val="24"/>
          <w:szCs w:val="24"/>
        </w:rPr>
        <w:t>y zestaw wytycznych dotyczących aborcji</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stanowiących kompendium obejmujące zarówno standardy w obszarze opieki zdrowotnej, jak i poruszające kwestię dostępu do aborcji jako (dostępu) do zabiegu medycznego, od którego zależne jest korzystanie z praw człow</w:t>
      </w:r>
      <w:r>
        <w:rPr>
          <w:rFonts w:ascii="Times New Roman" w:eastAsia="Times New Roman" w:hAnsi="Times New Roman" w:cs="Times New Roman"/>
          <w:sz w:val="24"/>
          <w:szCs w:val="24"/>
        </w:rPr>
        <w:t>ieka. We wskazanym dokumencie Światowa Organizacja Zdrowia podkreśla konieczność dekryminalizacji zarówno aborcji własnej jak i pomocy w aborcji. Jest to bowiem niezbędne dla zapewnienia ochrony prawa do najwyższego osiągalnego standardu zdrowia fizycznego</w:t>
      </w:r>
      <w:r>
        <w:rPr>
          <w:rFonts w:ascii="Times New Roman" w:eastAsia="Times New Roman" w:hAnsi="Times New Roman" w:cs="Times New Roman"/>
          <w:sz w:val="24"/>
          <w:szCs w:val="24"/>
        </w:rPr>
        <w:t xml:space="preserve"> i psychicznego,</w:t>
      </w:r>
      <w:r w:rsidR="00761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tym zdrowia i praw seksualnych i reprodukcyjnych. WHO wyszczególnia, że aborcja nie powinna być kryminalizowana, inne przepisy prawa karnego lub kodeksów karnych nie powinny być stosowane do karania osób, które pomagają w aborcji, i nie </w:t>
      </w:r>
      <w:r>
        <w:rPr>
          <w:rFonts w:ascii="Times New Roman" w:eastAsia="Times New Roman" w:hAnsi="Times New Roman" w:cs="Times New Roman"/>
          <w:sz w:val="24"/>
          <w:szCs w:val="24"/>
        </w:rPr>
        <w:t>powinno dochodzić do kryminalizacji samodzielnej aborcji. Także inne organy i instytucje międzynarodowe zwracają uwagę na potrzebę dekryminalizacji aborcji przeprowadzonej za zgodą ciężarnej.</w:t>
      </w:r>
    </w:p>
    <w:p w14:paraId="00000036" w14:textId="1C593F02"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Prawo do życia zapisane jest w artykule 6 Międzynarodowego pakt</w:t>
      </w:r>
      <w:r>
        <w:rPr>
          <w:rFonts w:ascii="Times New Roman" w:eastAsia="Times New Roman" w:hAnsi="Times New Roman" w:cs="Times New Roman"/>
          <w:sz w:val="24"/>
          <w:szCs w:val="24"/>
        </w:rPr>
        <w:t>u praw obywatelskich i politycznych. W Komentarzu ogólnym nr 36 Komitet Praw Człowieka ONZ (HRC) przedstawił autorytatywną interpretację obowiązków związanych z dostępem do aborcji, które wynikają z prawa do życia zapisanego w art. 6: „8. Chociaż państwa-s</w:t>
      </w:r>
      <w:r>
        <w:rPr>
          <w:rFonts w:ascii="Times New Roman" w:eastAsia="Times New Roman" w:hAnsi="Times New Roman" w:cs="Times New Roman"/>
          <w:sz w:val="24"/>
          <w:szCs w:val="24"/>
        </w:rPr>
        <w:t xml:space="preserve">trony mogą przyjąć środki mające na celu uregulowanie kwestii dobrowolnego przerwania ciąży, środki te nie mogą skutkować naruszeniem prawa do życia ciężarnej kobiety lub dziewczyny, ani żadnych innych praw przysługujących jej na mocy </w:t>
      </w:r>
      <w:proofErr w:type="spellStart"/>
      <w:r>
        <w:rPr>
          <w:rFonts w:ascii="Times New Roman" w:eastAsia="Times New Roman" w:hAnsi="Times New Roman" w:cs="Times New Roman"/>
          <w:sz w:val="24"/>
          <w:szCs w:val="24"/>
        </w:rPr>
        <w:t>MPPOiP</w:t>
      </w:r>
      <w:proofErr w:type="spellEnd"/>
      <w:r>
        <w:rPr>
          <w:rFonts w:ascii="Times New Roman" w:eastAsia="Times New Roman" w:hAnsi="Times New Roman" w:cs="Times New Roman"/>
          <w:sz w:val="24"/>
          <w:szCs w:val="24"/>
        </w:rPr>
        <w:t>. W związku z t</w:t>
      </w:r>
      <w:r>
        <w:rPr>
          <w:rFonts w:ascii="Times New Roman" w:eastAsia="Times New Roman" w:hAnsi="Times New Roman" w:cs="Times New Roman"/>
          <w:sz w:val="24"/>
          <w:szCs w:val="24"/>
        </w:rPr>
        <w:t xml:space="preserve">ym ograniczenia możliwości przeprowadzenia aborcji przez kobiety lub dziewczęta nie mogą m. in. zagrażać ich życiu, narażać ich na fizyczny lub psychiczny ból lub cierpienie, naruszające art. 7 </w:t>
      </w:r>
      <w:proofErr w:type="spellStart"/>
      <w:r>
        <w:rPr>
          <w:rFonts w:ascii="Times New Roman" w:eastAsia="Times New Roman" w:hAnsi="Times New Roman" w:cs="Times New Roman"/>
          <w:sz w:val="24"/>
          <w:szCs w:val="24"/>
        </w:rPr>
        <w:t>MPPOiP</w:t>
      </w:r>
      <w:proofErr w:type="spellEnd"/>
      <w:r>
        <w:rPr>
          <w:rFonts w:ascii="Times New Roman" w:eastAsia="Times New Roman" w:hAnsi="Times New Roman" w:cs="Times New Roman"/>
          <w:sz w:val="24"/>
          <w:szCs w:val="24"/>
        </w:rPr>
        <w:t xml:space="preserve">, dyskryminować ich lub w sposób arbitralny ingerować w </w:t>
      </w:r>
      <w:r>
        <w:rPr>
          <w:rFonts w:ascii="Times New Roman" w:eastAsia="Times New Roman" w:hAnsi="Times New Roman" w:cs="Times New Roman"/>
          <w:sz w:val="24"/>
          <w:szCs w:val="24"/>
        </w:rPr>
        <w:t>ich prywatność. Państwa-strony muszą zapewnić bezpieczny</w:t>
      </w:r>
      <w:r w:rsidR="00761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legalny i skuteczny dostęp do aborcji w przypadku, w którym życie i zdrowie ciężarnej kobiety lub dziewczyny jest zagrożone lub gdy donoszenie ciąży spowodowałoby znaczny ból lub cierpienie ciężarne</w:t>
      </w:r>
      <w:r>
        <w:rPr>
          <w:rFonts w:ascii="Times New Roman" w:eastAsia="Times New Roman" w:hAnsi="Times New Roman" w:cs="Times New Roman"/>
          <w:sz w:val="24"/>
          <w:szCs w:val="24"/>
        </w:rPr>
        <w:t>j kobiety lub dziewczyny, zwłaszcza gdy ciąża jest wynikiem gwałtu, kazirodztwa lub w sytuacji, w której płód nie jest zdolny do przeżycia. Ponadto państwa-strony nie mogą regulować ciąży lub aborcji we wszystkich innych przypadkach w sposób, który jest sp</w:t>
      </w:r>
      <w:r>
        <w:rPr>
          <w:rFonts w:ascii="Times New Roman" w:eastAsia="Times New Roman" w:hAnsi="Times New Roman" w:cs="Times New Roman"/>
          <w:sz w:val="24"/>
          <w:szCs w:val="24"/>
        </w:rPr>
        <w:t>rzeczny z ich obowiązkiem zagwarantowania, żeby kobiety i dziewczęta nie musiały uciekać się do przeprowadzania niebezpiecznych aborcji, w związku z czym powinny odpowiednio zrewidować swoje przepisy dotyczące aborcji. Na przykład nie powinny podejmować ta</w:t>
      </w:r>
      <w:r>
        <w:rPr>
          <w:rFonts w:ascii="Times New Roman" w:eastAsia="Times New Roman" w:hAnsi="Times New Roman" w:cs="Times New Roman"/>
          <w:sz w:val="24"/>
          <w:szCs w:val="24"/>
        </w:rPr>
        <w:t xml:space="preserve">kich środków jak kryminalizacji ciąży niezamężnych kobiet lub nakładanie sankcji karnych na kobiety i dziewczęta, które decydują się na własne aborcje, </w:t>
      </w:r>
      <w:r>
        <w:rPr>
          <w:rFonts w:ascii="Times New Roman" w:eastAsia="Times New Roman" w:hAnsi="Times New Roman" w:cs="Times New Roman"/>
          <w:b/>
          <w:sz w:val="24"/>
          <w:szCs w:val="24"/>
        </w:rPr>
        <w:t>lub świadczeniodawców usług medycznych, którzy pomagają im w wykonaniu aborcji, ponieważ takie środki zm</w:t>
      </w:r>
      <w:r>
        <w:rPr>
          <w:rFonts w:ascii="Times New Roman" w:eastAsia="Times New Roman" w:hAnsi="Times New Roman" w:cs="Times New Roman"/>
          <w:b/>
          <w:sz w:val="24"/>
          <w:szCs w:val="24"/>
        </w:rPr>
        <w:t xml:space="preserve">uszają kobiety i dziewczęta do korzystania z niebezpiecznych metod. </w:t>
      </w:r>
      <w:r>
        <w:rPr>
          <w:rFonts w:ascii="Times New Roman" w:eastAsia="Times New Roman" w:hAnsi="Times New Roman" w:cs="Times New Roman"/>
          <w:sz w:val="24"/>
          <w:szCs w:val="24"/>
        </w:rPr>
        <w:t>Państwa-S</w:t>
      </w:r>
      <w:r>
        <w:rPr>
          <w:rFonts w:ascii="Times New Roman" w:eastAsia="Times New Roman" w:hAnsi="Times New Roman" w:cs="Times New Roman"/>
          <w:sz w:val="24"/>
          <w:szCs w:val="24"/>
        </w:rPr>
        <w:t>trony powinny usunąć istniejące bariery blokujące skuteczny dostęp kobiet i dziewcząt do bezpiecznej i legalnej aborcji, w tym bariery spowodowane przez to, że indywidualni świadc</w:t>
      </w:r>
      <w:r>
        <w:rPr>
          <w:rFonts w:ascii="Times New Roman" w:eastAsia="Times New Roman" w:hAnsi="Times New Roman" w:cs="Times New Roman"/>
          <w:sz w:val="24"/>
          <w:szCs w:val="24"/>
        </w:rPr>
        <w:t>zeniodawcy usług medycznych odmawiają wykonywania działań sprzecznych z ich sumieniem, i nie powinny wprowadzać nowych barier. Państwa-strony powinny również skutecznie chronić życie kobiet i dziewcząt przez zagrożeniami zdrowia psychicznego i fizycznego z</w:t>
      </w:r>
      <w:r>
        <w:rPr>
          <w:rFonts w:ascii="Times New Roman" w:eastAsia="Times New Roman" w:hAnsi="Times New Roman" w:cs="Times New Roman"/>
          <w:sz w:val="24"/>
          <w:szCs w:val="24"/>
        </w:rPr>
        <w:t>wiązanymi z niebezpieczną aborcją”</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00000037"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Komentarz ogólny nr 36 wyjaśnia, że państwa mają obowiązek zagwarantowania, by sankcje karne nie miały zastosowania do kobiet szukających możliwości przeprowadzenia aborcji lub osób, które im w tym pomagają.</w:t>
      </w:r>
    </w:p>
    <w:p w14:paraId="00000038" w14:textId="77777777" w:rsidR="00EE3261" w:rsidRDefault="004F2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 sprawac</w:t>
      </w:r>
      <w:r>
        <w:rPr>
          <w:rFonts w:ascii="Times New Roman" w:eastAsia="Times New Roman" w:hAnsi="Times New Roman" w:cs="Times New Roman"/>
          <w:sz w:val="24"/>
          <w:szCs w:val="24"/>
        </w:rPr>
        <w:t xml:space="preserve">h </w:t>
      </w:r>
      <w:proofErr w:type="spellStart"/>
      <w:r>
        <w:rPr>
          <w:rFonts w:ascii="Times New Roman" w:eastAsia="Times New Roman" w:hAnsi="Times New Roman" w:cs="Times New Roman"/>
          <w:sz w:val="24"/>
          <w:szCs w:val="24"/>
        </w:rPr>
        <w:t>Mellet</w:t>
      </w:r>
      <w:proofErr w:type="spellEnd"/>
      <w:r>
        <w:rPr>
          <w:rFonts w:ascii="Times New Roman" w:eastAsia="Times New Roman" w:hAnsi="Times New Roman" w:cs="Times New Roman"/>
          <w:sz w:val="24"/>
          <w:szCs w:val="24"/>
        </w:rPr>
        <w:t xml:space="preserve"> przeciwko Irlandii i </w:t>
      </w:r>
      <w:proofErr w:type="spellStart"/>
      <w:r>
        <w:rPr>
          <w:rFonts w:ascii="Times New Roman" w:eastAsia="Times New Roman" w:hAnsi="Times New Roman" w:cs="Times New Roman"/>
          <w:sz w:val="24"/>
          <w:szCs w:val="24"/>
        </w:rPr>
        <w:t>Whelan</w:t>
      </w:r>
      <w:proofErr w:type="spellEnd"/>
      <w:r>
        <w:rPr>
          <w:rFonts w:ascii="Times New Roman" w:eastAsia="Times New Roman" w:hAnsi="Times New Roman" w:cs="Times New Roman"/>
          <w:sz w:val="24"/>
          <w:szCs w:val="24"/>
        </w:rPr>
        <w:t xml:space="preserve"> przeciwko Irlandii HRC uznał, że Irlandia naruszała międzynarodowe zobowiązania w zakresie praw człowieka i że „[z] racji istniejących ram prawnych, które zakazywały aborcji, państwo-strona skazało autorkę [skargi] na w</w:t>
      </w:r>
      <w:r>
        <w:rPr>
          <w:rFonts w:ascii="Times New Roman" w:eastAsia="Times New Roman" w:hAnsi="Times New Roman" w:cs="Times New Roman"/>
          <w:sz w:val="24"/>
          <w:szCs w:val="24"/>
        </w:rPr>
        <w:t>arunki intensywnego cierpienia fizycznego i psychicznego”, co naruszało jej prawo do wolności od tortur i złego traktowania. Komitet stwierdził, że „wstyd i napiętnowanie” związane z kryminalizacją aborcji w Irlandii zaostrzyły cierpienie kobiet. Uznał też</w:t>
      </w:r>
      <w:r>
        <w:rPr>
          <w:rFonts w:ascii="Times New Roman" w:eastAsia="Times New Roman" w:hAnsi="Times New Roman" w:cs="Times New Roman"/>
          <w:sz w:val="24"/>
          <w:szCs w:val="24"/>
        </w:rPr>
        <w:t xml:space="preserve">, że Irlandia jest zobowiązana do zmiany swojego prawa w celu zapewnienia dostępności aborcji oraz do podjęcia środków w celu zagwarantowania, że świadczeniodawcy w sektorze opieki zdrowotnej są w stanie dostarczać pełnych informacji na temat bezpiecznych </w:t>
      </w:r>
      <w:r>
        <w:rPr>
          <w:rFonts w:ascii="Times New Roman" w:eastAsia="Times New Roman" w:hAnsi="Times New Roman" w:cs="Times New Roman"/>
          <w:sz w:val="24"/>
          <w:szCs w:val="24"/>
        </w:rPr>
        <w:t>usług aborcyjnych bez obawy, że zostaną na nich nałożone sankcje karne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00000039" w14:textId="5977685D"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zdrowia zobowiązuje państwa do zagwarantowania dostępności dobrej jakości świadczenia zdrowotnego w postaci przerwania ciąży. „Powszechne prawo do korzystania z najwyższego o</w:t>
      </w:r>
      <w:r>
        <w:rPr>
          <w:rFonts w:ascii="Times New Roman" w:eastAsia="Times New Roman" w:hAnsi="Times New Roman" w:cs="Times New Roman"/>
          <w:sz w:val="24"/>
          <w:szCs w:val="24"/>
        </w:rPr>
        <w:t>siągalnego poziomu ochrony zdrowia fizycznego i psychicznego” zostało zapisane w art. 12 ust. 1 Międzynarodowego paktu praw gospodarczych, społecznych i kulturalnych (ICESCR). Komitet Praw Gospodarczych, Społecznych i Kulturalnych (CESCR) podkreślił, że ar</w:t>
      </w:r>
      <w:r>
        <w:rPr>
          <w:rFonts w:ascii="Times New Roman" w:eastAsia="Times New Roman" w:hAnsi="Times New Roman" w:cs="Times New Roman"/>
          <w:sz w:val="24"/>
          <w:szCs w:val="24"/>
        </w:rPr>
        <w:t xml:space="preserve">t. 12 wymaga liberalizacji „restrykcyjnego prawa aborcyjnego; zagwarantowania kobietom i dziewczętom dostępu do bezpiecznych usług aborcyjnych i wysokiej jakości opieki </w:t>
      </w:r>
      <w:proofErr w:type="spellStart"/>
      <w:r>
        <w:rPr>
          <w:rFonts w:ascii="Times New Roman" w:eastAsia="Times New Roman" w:hAnsi="Times New Roman" w:cs="Times New Roman"/>
          <w:sz w:val="24"/>
          <w:szCs w:val="24"/>
        </w:rPr>
        <w:t>poaborcyjnej</w:t>
      </w:r>
      <w:proofErr w:type="spellEnd"/>
      <w:r>
        <w:rPr>
          <w:rFonts w:ascii="Times New Roman" w:eastAsia="Times New Roman" w:hAnsi="Times New Roman" w:cs="Times New Roman"/>
          <w:sz w:val="24"/>
          <w:szCs w:val="24"/>
        </w:rPr>
        <w:t xml:space="preserve">”. Jasno wskazał też, że Państwa-Strony </w:t>
      </w:r>
      <w:r>
        <w:rPr>
          <w:rFonts w:ascii="Times New Roman" w:eastAsia="Times New Roman" w:hAnsi="Times New Roman" w:cs="Times New Roman"/>
          <w:sz w:val="24"/>
          <w:szCs w:val="24"/>
        </w:rPr>
        <w:t>powinny unikać środków represyjnych</w:t>
      </w:r>
      <w:r>
        <w:rPr>
          <w:rFonts w:ascii="Times New Roman" w:eastAsia="Times New Roman" w:hAnsi="Times New Roman" w:cs="Times New Roman"/>
          <w:sz w:val="24"/>
          <w:szCs w:val="24"/>
        </w:rPr>
        <w:t>, które obejmują „wprowadzanie przepisów kryminalizujących niektóre zachowania i decyzje dotyczące zdrowia seksualnego i reprodukcyjnego”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Do podobnych wniosków doszedł Komitet Praw Dziecka (CRC) oraz Komitet ds. Likwidacji Wszelkich Form Dyskryminacji Ko</w:t>
      </w:r>
      <w:r>
        <w:rPr>
          <w:rFonts w:ascii="Times New Roman" w:eastAsia="Times New Roman" w:hAnsi="Times New Roman" w:cs="Times New Roman"/>
          <w:sz w:val="24"/>
          <w:szCs w:val="24"/>
        </w:rPr>
        <w:t>biet (CEDAW). Ten drugi wielokrotnie orzekał, że dostęp do opieki zdrowotnej, w tym ochrony zdrowia reprodukcyjnego, jest podstawowym prawem na mocy art. 12 Konwencji CEDAW, a kryminalizacja świadczeń opieki z zakresu zdrowia reprodukcyjnego, takich jak ab</w:t>
      </w:r>
      <w:r>
        <w:rPr>
          <w:rFonts w:ascii="Times New Roman" w:eastAsia="Times New Roman" w:hAnsi="Times New Roman" w:cs="Times New Roman"/>
          <w:sz w:val="24"/>
          <w:szCs w:val="24"/>
        </w:rPr>
        <w:t>orcja, jest dyskryminująca</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14:paraId="0000003A" w14:textId="05C24344"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Kwestię dekryminalizacji aborcji w Polsce poruszył również Komitet Przeciwko Torturom ONZ</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wskazując, że Państwo-Strona powinno: „Rozważyć dekryminalizację aborcji i wydać wytyczne dotyczące postępowania w przypadku legalnej a</w:t>
      </w:r>
      <w:r>
        <w:rPr>
          <w:rFonts w:ascii="Times New Roman" w:eastAsia="Times New Roman" w:hAnsi="Times New Roman" w:cs="Times New Roman"/>
          <w:sz w:val="24"/>
          <w:szCs w:val="24"/>
        </w:rPr>
        <w:t xml:space="preserve">borcji, pamiętając o możliwych poważnych fizycznych i psychicznych konsekwencjach odmowy, w tym po odmowie wykonania aborcji przez lekarzy zgodnie z sumieniem i bez wymogów nieokreślonych w prawie; zapewnić, że komisje lekarskie wydadzą decyzję w ciągu 10 </w:t>
      </w:r>
      <w:r>
        <w:rPr>
          <w:rFonts w:ascii="Times New Roman" w:eastAsia="Times New Roman" w:hAnsi="Times New Roman" w:cs="Times New Roman"/>
          <w:sz w:val="24"/>
          <w:szCs w:val="24"/>
        </w:rPr>
        <w:t>dni; zapewnić kobietom opiekę zdrowotną po aborcji, niezależnie od tego, czy zostały poddane nielegalnej czy legalnej aborcji</w:t>
      </w:r>
      <w:r>
        <w:rPr>
          <w:rFonts w:ascii="Times New Roman" w:eastAsia="Times New Roman" w:hAnsi="Times New Roman" w:cs="Times New Roman"/>
          <w:sz w:val="24"/>
          <w:szCs w:val="24"/>
        </w:rPr>
        <w:t xml:space="preserve"> oraz zapewnić, że ani pacjentki, ani ich lekarze nie będą podlegać sankcjom karnym ani innym groźbom za poszukiwanie lub świadcze</w:t>
      </w:r>
      <w:r>
        <w:rPr>
          <w:rFonts w:ascii="Times New Roman" w:eastAsia="Times New Roman" w:hAnsi="Times New Roman" w:cs="Times New Roman"/>
          <w:sz w:val="24"/>
          <w:szCs w:val="24"/>
        </w:rPr>
        <w:t>nie takiej opieki”.</w:t>
      </w:r>
    </w:p>
    <w:p w14:paraId="0000003B"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Oprócz wyraźnego określenia zobowiązań państw do poszanowania i zapewnienia prawa do życia kobiet w ciąży, mechanizmy dotyczące praw człowieka rozstrzygały również w sprawie twierdzeń przeciwnych, według których ograniczenia aborcji sta</w:t>
      </w:r>
      <w:r>
        <w:rPr>
          <w:rFonts w:ascii="Times New Roman" w:eastAsia="Times New Roman" w:hAnsi="Times New Roman" w:cs="Times New Roman"/>
          <w:sz w:val="24"/>
          <w:szCs w:val="24"/>
        </w:rPr>
        <w:t>nowią uzasadnione środki mające na celu ochronę „prenatalnego” prawa do życia wynikającego z międzynarodowych regulacji dotyczących praw człowieka. Argumenty takie zostały odrzucone i konsekwentnie odmawiano uznania, że prawo do życia ma zastosowanie przed</w:t>
      </w:r>
      <w:r>
        <w:rPr>
          <w:rFonts w:ascii="Times New Roman" w:eastAsia="Times New Roman" w:hAnsi="Times New Roman" w:cs="Times New Roman"/>
          <w:sz w:val="24"/>
          <w:szCs w:val="24"/>
        </w:rPr>
        <w:t xml:space="preserve"> narodzinami lub że płód lub embrion są posiadaczami praw wynikających z tych międzynarodowych regulacji</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14:paraId="0000003C" w14:textId="00B8A481"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Również Parlament Europejski w rezolucji z dnia 11 listopada 2021 r. w sprawie pierwszej rocznicy faktycznego zakazu aborcji w Polsce (2021/2925(RSP)</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wskazał, że </w:t>
      </w:r>
      <w:r>
        <w:rPr>
          <w:rFonts w:ascii="Times New Roman" w:eastAsia="Times New Roman" w:hAnsi="Times New Roman" w:cs="Times New Roman"/>
          <w:sz w:val="24"/>
          <w:szCs w:val="24"/>
        </w:rPr>
        <w:t>przeprowadzenie zabiegu aborcji nie było ujęte w kodeksie karnym w żaden sposób, w żadnej formie ani w postaci, ponieważ ma to efekt mrożący dla lekarzy, którzy w konsekwencji odmawiają świadczenia usług w zakresie zdrowia s</w:t>
      </w:r>
      <w:r>
        <w:rPr>
          <w:rFonts w:ascii="Times New Roman" w:eastAsia="Times New Roman" w:hAnsi="Times New Roman" w:cs="Times New Roman"/>
          <w:sz w:val="24"/>
          <w:szCs w:val="24"/>
        </w:rPr>
        <w:t>eksualnego i reprodukcyjnego ze strachu przed sankcjami karnymi, a to ogranicza zakres opieki zdrowotnej dostępnej kobietom i dziewczętom; jest zaniepokojony, że w wyniku tej sytuacji lekarze zazwyczaj priorytetowo traktują ratowanie płodu, a nie życia kob</w:t>
      </w:r>
      <w:r>
        <w:rPr>
          <w:rFonts w:ascii="Times New Roman" w:eastAsia="Times New Roman" w:hAnsi="Times New Roman" w:cs="Times New Roman"/>
          <w:sz w:val="24"/>
          <w:szCs w:val="24"/>
        </w:rPr>
        <w:t>iety; wzywa polski rząd do zagwarantowania, że ani jedna kobieta więcej nie umrze w Polsce z powodu restrykcji prawnych, oraz do całkowitej depenalizacji aborcji i usunięcia z prawa karnego wszelkich kwestii związanych z aborcją, aby zapewnić, że lekarze b</w:t>
      </w:r>
      <w:r>
        <w:rPr>
          <w:rFonts w:ascii="Times New Roman" w:eastAsia="Times New Roman" w:hAnsi="Times New Roman" w:cs="Times New Roman"/>
          <w:sz w:val="24"/>
          <w:szCs w:val="24"/>
        </w:rPr>
        <w:t>ędą zgadzali się na przeprowadzenie aborcji w praktyce w ramach możliwości prawnych wynikających z prawa krajowego, oraz zagwarantować bezstronne, oparte na dowodach informacji informowanie o dostępie do aborcji i innych praw seksualnych i reprodukcyjnych”</w:t>
      </w:r>
      <w:r>
        <w:rPr>
          <w:rFonts w:ascii="Times New Roman" w:eastAsia="Times New Roman" w:hAnsi="Times New Roman" w:cs="Times New Roman"/>
          <w:sz w:val="24"/>
          <w:szCs w:val="24"/>
        </w:rPr>
        <w:t>.</w:t>
      </w:r>
    </w:p>
    <w:p w14:paraId="0000003D"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Skutki skrajnie restrykcyjnego prawa antyaborcyjnego, jakie obowiązuje w Polsce, widoczne są także na gruncie orzecznictwa Europejskiego Trybunału Praw Człowieka. W sprawie Tysiąc p. Polsce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skarżącej odmówiono aborcji terapeutycznej po tym, jak została </w:t>
      </w:r>
      <w:r>
        <w:rPr>
          <w:rFonts w:ascii="Times New Roman" w:eastAsia="Times New Roman" w:hAnsi="Times New Roman" w:cs="Times New Roman"/>
          <w:sz w:val="24"/>
          <w:szCs w:val="24"/>
        </w:rPr>
        <w:t>ostrzeżona, że jej już poważna krótkowzroczność może się pogorszyć, jeśli donosi ciążę. Po urodzeniu dziecka skarżąca doznała krwotoku do siatkówki i została uznana za osobę niepełnosprawną w stopniu znacznym. Europejski Trybunał Praw Człowieka uznał, że A</w:t>
      </w:r>
      <w:r>
        <w:rPr>
          <w:rFonts w:ascii="Times New Roman" w:eastAsia="Times New Roman" w:hAnsi="Times New Roman" w:cs="Times New Roman"/>
          <w:sz w:val="24"/>
          <w:szCs w:val="24"/>
        </w:rPr>
        <w:t xml:space="preserve">licji Tysiąc odmówiono dostępu do skutecznego mechanizmu umożliwiającego ustalenie, czy spełnione zostały warunki do uzyskania legalnej aborcji. Brak takiego mechanizmu doprowadził do naruszenia art. 8 (prawo do poszanowania życia prywatnego i rodzinnego) </w:t>
      </w:r>
      <w:r>
        <w:rPr>
          <w:rFonts w:ascii="Times New Roman" w:eastAsia="Times New Roman" w:hAnsi="Times New Roman" w:cs="Times New Roman"/>
          <w:sz w:val="24"/>
          <w:szCs w:val="24"/>
        </w:rPr>
        <w:t>Europejskiej Konwencji Praw Człowieka.</w:t>
      </w:r>
    </w:p>
    <w:p w14:paraId="0000003E"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Trybunał zwrócił również uwagę na dramatyczne efekty polskiego prawa w sprawie P. i S. p. Polsce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dotyczącym braku dostępu do aborcji. Sprawa ta dotyczyła trudności napotkanych przez nastoletnią dziewczynę, która zasz</w:t>
      </w:r>
      <w:r>
        <w:rPr>
          <w:rFonts w:ascii="Times New Roman" w:eastAsia="Times New Roman" w:hAnsi="Times New Roman" w:cs="Times New Roman"/>
          <w:sz w:val="24"/>
          <w:szCs w:val="24"/>
        </w:rPr>
        <w:t>ła w ciążę w wyniku gwałtu, w uzyskaniu dostępu do aborcji, w szczególności z powodu braku jasnych ram prawnych, zwlekania personelu medycznego, a także w kontekście doświadczonego przez nią nękania. Trybunał uznał, że doszło do naruszenia artykułu 8 Konwe</w:t>
      </w:r>
      <w:r>
        <w:rPr>
          <w:rFonts w:ascii="Times New Roman" w:eastAsia="Times New Roman" w:hAnsi="Times New Roman" w:cs="Times New Roman"/>
          <w:sz w:val="24"/>
          <w:szCs w:val="24"/>
        </w:rPr>
        <w:t xml:space="preserve">ncji (prawo do poszanowania życia prywatnego i rodzinnego). Stwierdził w szczególności, że skarżące otrzymały wprowadzające w błąd i sprzeczne informacje oraz nie otrzymały obiektywnej porady medycznej; a fakt, że dostęp do aborcji był przedmiotem gorącej </w:t>
      </w:r>
      <w:r>
        <w:rPr>
          <w:rFonts w:ascii="Times New Roman" w:eastAsia="Times New Roman" w:hAnsi="Times New Roman" w:cs="Times New Roman"/>
          <w:sz w:val="24"/>
          <w:szCs w:val="24"/>
        </w:rPr>
        <w:t xml:space="preserve">debaty w Polsce, nie zwalniał personelu medycznego z obowiązków zawodowych dotyczących tajemnicy lekarskiej. </w:t>
      </w:r>
    </w:p>
    <w:p w14:paraId="0000003F" w14:textId="1664A7CE"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uwagę zasługuje również stanowisko Trybunału, wyrażone w uzasadnieniu wyroku R.R. p. Polsce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dotyczącym braku dostępu do aborcji. Trybunał stwi</w:t>
      </w:r>
      <w:r>
        <w:rPr>
          <w:rFonts w:ascii="Times New Roman" w:eastAsia="Times New Roman" w:hAnsi="Times New Roman" w:cs="Times New Roman"/>
          <w:sz w:val="24"/>
          <w:szCs w:val="24"/>
        </w:rPr>
        <w:t>erdził w nim, że „restrykcje prawne dotyczące aborcji w Polsce, łącznie z zagrożeniem odpowiedzialności karnej z art. 152 § 1 Kodeksu karnego, mogą powodować u lekarzy tzw. e</w:t>
      </w:r>
      <w:bookmarkStart w:id="0" w:name="_GoBack"/>
      <w:bookmarkEnd w:id="0"/>
      <w:r>
        <w:rPr>
          <w:rFonts w:ascii="Times New Roman" w:eastAsia="Times New Roman" w:hAnsi="Times New Roman" w:cs="Times New Roman"/>
          <w:sz w:val="24"/>
          <w:szCs w:val="24"/>
        </w:rPr>
        <w:t>fekt mrożący podczas decydowania o tym, czy przesłanki do legalnej aborcji są w da</w:t>
      </w:r>
      <w:r>
        <w:rPr>
          <w:rFonts w:ascii="Times New Roman" w:eastAsia="Times New Roman" w:hAnsi="Times New Roman" w:cs="Times New Roman"/>
          <w:sz w:val="24"/>
          <w:szCs w:val="24"/>
        </w:rPr>
        <w:t>nym przypadku spełnione”. W kontekście dostępu do aborcji w Polsce o takim efekcie mrożącym możemy mówić zarówno w obszarze aborcji własnej, pozostającej w przestrzeni tabu społecznego, jak i w obszarze opieki zdrowotnej. Widocznym obszarem działania efekt</w:t>
      </w:r>
      <w:r>
        <w:rPr>
          <w:rFonts w:ascii="Times New Roman" w:eastAsia="Times New Roman" w:hAnsi="Times New Roman" w:cs="Times New Roman"/>
          <w:sz w:val="24"/>
          <w:szCs w:val="24"/>
        </w:rPr>
        <w:t>u mrożącego jest odmawianie przez lekarzy wykonywania legalnych zabiegów przerywania ciąży lub dążenia do tego, by ich nie wykonywać, nawet w sytuacjach, gdy zwłoka może prowadzić do zagrożenia życia lub zdrowia pacjentki będącej w ciąży.</w:t>
      </w:r>
    </w:p>
    <w:p w14:paraId="00000040"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 sprawie M.L. p.</w:t>
      </w:r>
      <w:r>
        <w:rPr>
          <w:rFonts w:ascii="Times New Roman" w:eastAsia="Times New Roman" w:hAnsi="Times New Roman" w:cs="Times New Roman"/>
          <w:sz w:val="24"/>
          <w:szCs w:val="24"/>
        </w:rPr>
        <w:t xml:space="preserve"> Polsce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skarżąca twierdziła, że jest ofiarą naruszenia art. 8 Konwencji. Wyrok Trybunału Konstytucyjnego z 2020 r. pozbawił ją możliwości przerwania ciąży ze względu na wady płodu. W rzeczywistości została zmuszona do wyboru między utrzymaniem ciąży i uro</w:t>
      </w:r>
      <w:r>
        <w:rPr>
          <w:rFonts w:ascii="Times New Roman" w:eastAsia="Times New Roman" w:hAnsi="Times New Roman" w:cs="Times New Roman"/>
          <w:sz w:val="24"/>
          <w:szCs w:val="24"/>
        </w:rPr>
        <w:t>dzeniem chorego dziecka a wyjazdem za granicę w celu poddania się aborcji. Podnosi także, że wyjazd za granicę w celu dokonania aborcji był uciążliwy zarówno psychicznie jak i finansowo. Sytuacja ta spowodowała u niej cierpienie, stres, upokorzenie, poczuc</w:t>
      </w:r>
      <w:r>
        <w:rPr>
          <w:rFonts w:ascii="Times New Roman" w:eastAsia="Times New Roman" w:hAnsi="Times New Roman" w:cs="Times New Roman"/>
          <w:sz w:val="24"/>
          <w:szCs w:val="24"/>
        </w:rPr>
        <w:t>ie bezradności i inne, trudne do przewidzenia konsekwencje dla jej zdrowia psychicznego i fizycznego. ETPC stwierdził, że postępowanie przed Trybunałem Konstytucyjnym miało bezpośredni wpływ na prawa skarżącej, w tym w szczególności na prawo do życia prywa</w:t>
      </w:r>
      <w:r>
        <w:rPr>
          <w:rFonts w:ascii="Times New Roman" w:eastAsia="Times New Roman" w:hAnsi="Times New Roman" w:cs="Times New Roman"/>
          <w:sz w:val="24"/>
          <w:szCs w:val="24"/>
        </w:rPr>
        <w:t>tnego, a ocena zgodności ingerencji z prawem wymagała zbadania atrybutów tego organu sądowego jako „sądu”, który dla celów Konwencji jest „zgodny z prawem”. Trybunał orzekł, że w składzie TK, który wydał orzeczenie mające wpływ na prawa skarżącej, znaleźli</w:t>
      </w:r>
      <w:r>
        <w:rPr>
          <w:rFonts w:ascii="Times New Roman" w:eastAsia="Times New Roman" w:hAnsi="Times New Roman" w:cs="Times New Roman"/>
          <w:sz w:val="24"/>
          <w:szCs w:val="24"/>
        </w:rPr>
        <w:t xml:space="preserve"> się sędziowie powołani w trybie postępowania, które uznał już za naruszające Konwencję w swoim wyroku w sprawie Xero Flor przeciwko Polsce. Trybunał uznał zatem, że ingerencja w prawa skarżącej nie była zgodna z prawem w rozumieniu art. 8 Konwencji. Ponad</w:t>
      </w:r>
      <w:r>
        <w:rPr>
          <w:rFonts w:ascii="Times New Roman" w:eastAsia="Times New Roman" w:hAnsi="Times New Roman" w:cs="Times New Roman"/>
          <w:sz w:val="24"/>
          <w:szCs w:val="24"/>
        </w:rPr>
        <w:t>to orzeczenie TK ingerowało w procedurę medyczną, do której skarżąca była zakwalifikowana i która była już wszczęta, tworząc sytuację pozbawiającą ją odpowiednich zabezpieczeń przed arbitralnością. Ingerencja w prawa skarżącej nie była więc zgodna z prawem</w:t>
      </w:r>
      <w:r>
        <w:rPr>
          <w:rFonts w:ascii="Times New Roman" w:eastAsia="Times New Roman" w:hAnsi="Times New Roman" w:cs="Times New Roman"/>
          <w:sz w:val="24"/>
          <w:szCs w:val="24"/>
        </w:rPr>
        <w:t xml:space="preserve"> i stanowiła naruszenie art. 8 Konwencji. Przewidywać należy, że podobnych spraw, prowadzących do poniżającego i nieludzkiego traktowania osób w ciąży oraz do wywołania u nich cierpienia fizycznego oraz psychicznego, było w Polsce więcej, a jedynie niewiel</w:t>
      </w:r>
      <w:r>
        <w:rPr>
          <w:rFonts w:ascii="Times New Roman" w:eastAsia="Times New Roman" w:hAnsi="Times New Roman" w:cs="Times New Roman"/>
          <w:sz w:val="24"/>
          <w:szCs w:val="24"/>
        </w:rPr>
        <w:t>ka ich liczba znalazła odzwierciedlenie w publicznej przestrzeni prawnej.</w:t>
      </w:r>
    </w:p>
    <w:p w14:paraId="00000041"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Wejście w życie projektowanych przepisów nie będzie miało wpływu na finanse publiczne. Projekt ustawy nie wymaga wygospodarowania dodatkowych środków z budżetu państwa ani budżetów j</w:t>
      </w:r>
      <w:r>
        <w:rPr>
          <w:rFonts w:ascii="Times New Roman" w:eastAsia="Times New Roman" w:hAnsi="Times New Roman" w:cs="Times New Roman"/>
          <w:sz w:val="24"/>
          <w:szCs w:val="24"/>
          <w:highlight w:val="white"/>
        </w:rPr>
        <w:t>ednostek samorządu terytorialnego.</w:t>
      </w:r>
    </w:p>
    <w:p w14:paraId="00000042"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Projekt ustawy nie ma wpływu na działalność </w:t>
      </w:r>
      <w:proofErr w:type="spellStart"/>
      <w:r>
        <w:rPr>
          <w:rFonts w:ascii="Times New Roman" w:eastAsia="Times New Roman" w:hAnsi="Times New Roman" w:cs="Times New Roman"/>
          <w:sz w:val="24"/>
          <w:szCs w:val="24"/>
          <w:highlight w:val="white"/>
        </w:rPr>
        <w:t>mikroprzedsiębiorców</w:t>
      </w:r>
      <w:proofErr w:type="spellEnd"/>
      <w:r>
        <w:rPr>
          <w:rFonts w:ascii="Times New Roman" w:eastAsia="Times New Roman" w:hAnsi="Times New Roman" w:cs="Times New Roman"/>
          <w:sz w:val="24"/>
          <w:szCs w:val="24"/>
          <w:highlight w:val="white"/>
        </w:rPr>
        <w:t>, małych i średnich przedsiębiorców.</w:t>
      </w:r>
    </w:p>
    <w:p w14:paraId="00000043"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Projekt ustawy nie wymaga wydania nowych aktów wykonawczych.</w:t>
      </w:r>
    </w:p>
    <w:p w14:paraId="00000044"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Przedmiot projektu nie jest objęty prawem Unii Europejskiej</w:t>
      </w:r>
      <w:r>
        <w:rPr>
          <w:rFonts w:ascii="Times New Roman" w:eastAsia="Times New Roman" w:hAnsi="Times New Roman" w:cs="Times New Roman"/>
          <w:sz w:val="24"/>
          <w:szCs w:val="24"/>
          <w:highlight w:val="white"/>
        </w:rPr>
        <w:t>.</w:t>
      </w:r>
    </w:p>
    <w:p w14:paraId="00000045"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Projekt ustawy nie zawiera przepisów technicznych w rozumieniu rozporządzenia Rady Ministrów z dnia 23 grudnia 2002 r. w sprawie sposobu funkcjonowania krajowego systemu notyfikacji norm i aktów prawnych (Dz. U. z 2002 r. poz. 2039 oraz z 2004 r. </w:t>
      </w:r>
      <w:proofErr w:type="spellStart"/>
      <w:r>
        <w:rPr>
          <w:rFonts w:ascii="Times New Roman" w:eastAsia="Times New Roman" w:hAnsi="Times New Roman" w:cs="Times New Roman"/>
          <w:sz w:val="24"/>
          <w:szCs w:val="24"/>
          <w:highlight w:val="white"/>
        </w:rPr>
        <w:t>poz</w:t>
      </w:r>
      <w:proofErr w:type="spellEnd"/>
      <w:r>
        <w:rPr>
          <w:rFonts w:ascii="Times New Roman" w:eastAsia="Times New Roman" w:hAnsi="Times New Roman" w:cs="Times New Roman"/>
          <w:sz w:val="24"/>
          <w:szCs w:val="24"/>
          <w:highlight w:val="white"/>
        </w:rPr>
        <w:t xml:space="preserve"> 597</w:t>
      </w:r>
      <w:r>
        <w:rPr>
          <w:rFonts w:ascii="Times New Roman" w:eastAsia="Times New Roman" w:hAnsi="Times New Roman" w:cs="Times New Roman"/>
          <w:sz w:val="24"/>
          <w:szCs w:val="24"/>
          <w:highlight w:val="white"/>
        </w:rPr>
        <w:t>) i w związku z tym nie podlega notyfikacji.</w:t>
      </w:r>
    </w:p>
    <w:p w14:paraId="00000046" w14:textId="77777777" w:rsidR="00EE3261" w:rsidRDefault="004F254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Projekt ustawy nie wymaga przedłożenia właściwym instytucjom i organom Unii Europejskiej, w tym Europejskiemu Bankowi Centralnemu, w celu uzyskania opinii, dokonania powiadomienia, konsultacji albo uzgodnienia.</w:t>
      </w:r>
    </w:p>
    <w:p w14:paraId="00000047" w14:textId="77777777" w:rsidR="00EE3261" w:rsidRDefault="004F2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Projekt ustawy nie zawiera przepisów regulacyjnych lub przepisów określających wymogi dotyczące świadczenia usług transgranicznych w rozumieniu ustawy z dnia 22 grudnia 2015 r. o zasadach uznawania kwalifikacji zawodowych nabytych w państwach członkowskich</w:t>
      </w:r>
      <w:r>
        <w:rPr>
          <w:rFonts w:ascii="Times New Roman" w:eastAsia="Times New Roman" w:hAnsi="Times New Roman" w:cs="Times New Roman"/>
          <w:sz w:val="24"/>
          <w:szCs w:val="24"/>
          <w:highlight w:val="white"/>
        </w:rPr>
        <w:t xml:space="preserve"> Unii Europejskiej (Dz. U. z 2023 r. poz. 334).</w:t>
      </w:r>
    </w:p>
    <w:sectPr w:rsidR="00EE3261">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F6C8" w14:textId="77777777" w:rsidR="00865E7A" w:rsidRDefault="00865E7A">
      <w:pPr>
        <w:spacing w:line="240" w:lineRule="auto"/>
      </w:pPr>
      <w:r>
        <w:separator/>
      </w:r>
    </w:p>
  </w:endnote>
  <w:endnote w:type="continuationSeparator" w:id="0">
    <w:p w14:paraId="65D65E71" w14:textId="77777777" w:rsidR="00865E7A" w:rsidRDefault="00865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60D1" w14:textId="77777777" w:rsidR="00865E7A" w:rsidRDefault="00865E7A">
      <w:pPr>
        <w:spacing w:line="240" w:lineRule="auto"/>
      </w:pPr>
      <w:r>
        <w:separator/>
      </w:r>
    </w:p>
  </w:footnote>
  <w:footnote w:type="continuationSeparator" w:id="0">
    <w:p w14:paraId="252FAE45" w14:textId="77777777" w:rsidR="00865E7A" w:rsidRDefault="00865E7A">
      <w:pPr>
        <w:spacing w:line="240" w:lineRule="auto"/>
      </w:pPr>
      <w:r>
        <w:continuationSeparator/>
      </w:r>
    </w:p>
  </w:footnote>
  <w:footnote w:id="1">
    <w:p w14:paraId="00000048"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 Tuleja [w:] P. Czarny, M. Florczak-Wątor, B. </w:t>
      </w:r>
      <w:proofErr w:type="spellStart"/>
      <w:r>
        <w:rPr>
          <w:rFonts w:ascii="Times New Roman" w:eastAsia="Times New Roman" w:hAnsi="Times New Roman" w:cs="Times New Roman"/>
          <w:sz w:val="20"/>
          <w:szCs w:val="20"/>
        </w:rPr>
        <w:t>Naleziński</w:t>
      </w:r>
      <w:proofErr w:type="spellEnd"/>
      <w:r>
        <w:rPr>
          <w:rFonts w:ascii="Times New Roman" w:eastAsia="Times New Roman" w:hAnsi="Times New Roman" w:cs="Times New Roman"/>
          <w:sz w:val="20"/>
          <w:szCs w:val="20"/>
        </w:rPr>
        <w:t>, P. Radziewicz, P. Tuleja, Konstytucja Rzeczypospolitej Polskiej. Komenta</w:t>
      </w:r>
      <w:r>
        <w:rPr>
          <w:rFonts w:ascii="Times New Roman" w:eastAsia="Times New Roman" w:hAnsi="Times New Roman" w:cs="Times New Roman"/>
          <w:sz w:val="20"/>
          <w:szCs w:val="20"/>
        </w:rPr>
        <w:t>rz, wyd. II, Warszawa 2023, art. 31.</w:t>
      </w:r>
    </w:p>
  </w:footnote>
  <w:footnote w:id="2">
    <w:p w14:paraId="00000049"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Wyrok TK z dnia 8 lipca 2008 r., K 46/07, OTK ZU 6A/2008, poz. 104.</w:t>
      </w:r>
    </w:p>
  </w:footnote>
  <w:footnote w:id="3">
    <w:p w14:paraId="0000004A"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 Tuleja [w:] P. Czarny, M. Florczak-Wątor, B. </w:t>
      </w:r>
      <w:proofErr w:type="spellStart"/>
      <w:r>
        <w:rPr>
          <w:rFonts w:ascii="Times New Roman" w:eastAsia="Times New Roman" w:hAnsi="Times New Roman" w:cs="Times New Roman"/>
          <w:sz w:val="20"/>
          <w:szCs w:val="20"/>
        </w:rPr>
        <w:t>Naleziński</w:t>
      </w:r>
      <w:proofErr w:type="spellEnd"/>
      <w:r>
        <w:rPr>
          <w:rFonts w:ascii="Times New Roman" w:eastAsia="Times New Roman" w:hAnsi="Times New Roman" w:cs="Times New Roman"/>
          <w:sz w:val="20"/>
          <w:szCs w:val="20"/>
        </w:rPr>
        <w:t>, P. Radziewicz, P. Tuleja, Konstytucja Rzeczypospolitej Polskiej. Komentarz, wyd. II, Wa</w:t>
      </w:r>
      <w:r>
        <w:rPr>
          <w:rFonts w:ascii="Times New Roman" w:eastAsia="Times New Roman" w:hAnsi="Times New Roman" w:cs="Times New Roman"/>
          <w:sz w:val="20"/>
          <w:szCs w:val="20"/>
        </w:rPr>
        <w:t>rszawa 2023, art. 31.</w:t>
      </w:r>
    </w:p>
  </w:footnote>
  <w:footnote w:id="4">
    <w:p w14:paraId="0000004B" w14:textId="4E7CCBEC"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Jedynie z danych Aborcji Bez Granic wynika, że w ciągu dwóch lat od wyroku tzw. TK z 2020 roku przy pomocy tej organizacji przeprowadzono 44 tysiące zabiegów aborcji, przy czym w 99% przypadków była to aborcja </w:t>
      </w:r>
      <w:r w:rsidR="007F67B1">
        <w:rPr>
          <w:rFonts w:ascii="Times New Roman" w:eastAsia="Times New Roman" w:hAnsi="Times New Roman" w:cs="Times New Roman"/>
          <w:sz w:val="20"/>
          <w:szCs w:val="20"/>
        </w:rPr>
        <w:t>samodzielna</w:t>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https://vibez.pl/wydarzenia/aborcja-bez-granic-44-tys-polek-dokonalo-aborcji-w-ciagu-dwoch-lat-najmlodsza-to-1</w:t>
        </w:r>
        <w:r>
          <w:rPr>
            <w:rFonts w:ascii="Times New Roman" w:eastAsia="Times New Roman" w:hAnsi="Times New Roman" w:cs="Times New Roman"/>
            <w:color w:val="1155CC"/>
            <w:sz w:val="20"/>
            <w:szCs w:val="20"/>
            <w:u w:val="single"/>
          </w:rPr>
          <w:t>4-latka-6825336121793440a</w:t>
        </w:r>
      </w:hyperlink>
      <w:r>
        <w:rPr>
          <w:rFonts w:ascii="Times New Roman" w:eastAsia="Times New Roman" w:hAnsi="Times New Roman" w:cs="Times New Roman"/>
          <w:sz w:val="20"/>
          <w:szCs w:val="20"/>
        </w:rPr>
        <w:t>. Dla porównania w 2021 r. wykonano 107 zabiegów aborcji w ramach systemu ochrony zdrowia. Zob. Sprawozdanie Rady Ministrów z wykonywania oraz o skutkach stosowania w 2021 r. ustawy z dnia 7 stycznia 1993 r. o planowaniu rodziny, o</w:t>
      </w:r>
      <w:r>
        <w:rPr>
          <w:rFonts w:ascii="Times New Roman" w:eastAsia="Times New Roman" w:hAnsi="Times New Roman" w:cs="Times New Roman"/>
          <w:sz w:val="20"/>
          <w:szCs w:val="20"/>
        </w:rPr>
        <w:t>chronie płodu ludzkiego i warunkach dopuszczalności przerywania ciąży, rok 2022, druk nr 2758</w:t>
      </w:r>
    </w:p>
  </w:footnote>
  <w:footnote w:id="5">
    <w:p w14:paraId="0000004C"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Wyrok </w:t>
      </w:r>
      <w:proofErr w:type="spellStart"/>
      <w:r>
        <w:rPr>
          <w:rFonts w:ascii="Times New Roman" w:eastAsia="Times New Roman" w:hAnsi="Times New Roman" w:cs="Times New Roman"/>
          <w:sz w:val="20"/>
          <w:szCs w:val="20"/>
        </w:rPr>
        <w:t>ETPCz</w:t>
      </w:r>
      <w:proofErr w:type="spellEnd"/>
      <w:r>
        <w:rPr>
          <w:rFonts w:ascii="Times New Roman" w:eastAsia="Times New Roman" w:hAnsi="Times New Roman" w:cs="Times New Roman"/>
          <w:sz w:val="20"/>
          <w:szCs w:val="20"/>
        </w:rPr>
        <w:t xml:space="preserve"> w sprawie R.R. przeciwko Polsce z dnia 26 maja 2011 r., skarga nr 27617/04, treść wyroku dostępna w bazie </w:t>
      </w:r>
      <w:proofErr w:type="spellStart"/>
      <w:r>
        <w:rPr>
          <w:rFonts w:ascii="Times New Roman" w:eastAsia="Times New Roman" w:hAnsi="Times New Roman" w:cs="Times New Roman"/>
          <w:sz w:val="20"/>
          <w:szCs w:val="20"/>
        </w:rPr>
        <w:t>ETPCz</w:t>
      </w:r>
      <w:proofErr w:type="spellEnd"/>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https://hudoc.echr.coe.int/fre?=i=001-104911</w:t>
        </w:r>
      </w:hyperlink>
      <w:r>
        <w:rPr>
          <w:rFonts w:ascii="Times New Roman" w:eastAsia="Times New Roman" w:hAnsi="Times New Roman" w:cs="Times New Roman"/>
          <w:sz w:val="20"/>
          <w:szCs w:val="20"/>
        </w:rPr>
        <w:t xml:space="preserve">. </w:t>
      </w:r>
    </w:p>
  </w:footnote>
  <w:footnote w:id="6">
    <w:p w14:paraId="0000004D" w14:textId="77777777" w:rsidR="00EE3261" w:rsidRPr="00BD78B0" w:rsidRDefault="004F254C">
      <w:pPr>
        <w:spacing w:line="240" w:lineRule="auto"/>
        <w:rPr>
          <w:rFonts w:ascii="Times New Roman" w:eastAsia="Times New Roman" w:hAnsi="Times New Roman" w:cs="Times New Roman"/>
          <w:sz w:val="20"/>
          <w:szCs w:val="20"/>
          <w:lang w:val="en-US"/>
        </w:rPr>
      </w:pPr>
      <w:r>
        <w:rPr>
          <w:vertAlign w:val="superscript"/>
        </w:rPr>
        <w:footnoteRef/>
      </w:r>
      <w:r w:rsidRPr="00BD78B0">
        <w:rPr>
          <w:rFonts w:ascii="Times New Roman" w:eastAsia="Times New Roman" w:hAnsi="Times New Roman" w:cs="Times New Roman"/>
          <w:sz w:val="20"/>
          <w:szCs w:val="20"/>
          <w:lang w:val="en-US"/>
        </w:rPr>
        <w:t xml:space="preserve"> WHO, Abortion care guideline, 8 </w:t>
      </w:r>
      <w:proofErr w:type="spellStart"/>
      <w:r w:rsidRPr="00BD78B0">
        <w:rPr>
          <w:rFonts w:ascii="Times New Roman" w:eastAsia="Times New Roman" w:hAnsi="Times New Roman" w:cs="Times New Roman"/>
          <w:sz w:val="20"/>
          <w:szCs w:val="20"/>
          <w:lang w:val="en-US"/>
        </w:rPr>
        <w:t>marca</w:t>
      </w:r>
      <w:proofErr w:type="spellEnd"/>
      <w:r w:rsidRPr="00BD78B0">
        <w:rPr>
          <w:rFonts w:ascii="Times New Roman" w:eastAsia="Times New Roman" w:hAnsi="Times New Roman" w:cs="Times New Roman"/>
          <w:sz w:val="20"/>
          <w:szCs w:val="20"/>
          <w:lang w:val="en-US"/>
        </w:rPr>
        <w:t xml:space="preserve"> 2022, </w:t>
      </w:r>
      <w:proofErr w:type="spellStart"/>
      <w:r w:rsidRPr="00BD78B0">
        <w:rPr>
          <w:rFonts w:ascii="Times New Roman" w:eastAsia="Times New Roman" w:hAnsi="Times New Roman" w:cs="Times New Roman"/>
          <w:sz w:val="20"/>
          <w:szCs w:val="20"/>
          <w:lang w:val="en-US"/>
        </w:rPr>
        <w:t>dostępny</w:t>
      </w:r>
      <w:proofErr w:type="spellEnd"/>
      <w:r w:rsidRPr="00BD78B0">
        <w:rPr>
          <w:rFonts w:ascii="Times New Roman" w:eastAsia="Times New Roman" w:hAnsi="Times New Roman" w:cs="Times New Roman"/>
          <w:sz w:val="20"/>
          <w:szCs w:val="20"/>
          <w:lang w:val="en-US"/>
        </w:rPr>
        <w:t xml:space="preserve"> </w:t>
      </w:r>
      <w:proofErr w:type="spellStart"/>
      <w:r w:rsidRPr="00BD78B0">
        <w:rPr>
          <w:rFonts w:ascii="Times New Roman" w:eastAsia="Times New Roman" w:hAnsi="Times New Roman" w:cs="Times New Roman"/>
          <w:sz w:val="20"/>
          <w:szCs w:val="20"/>
          <w:lang w:val="en-US"/>
        </w:rPr>
        <w:t>na</w:t>
      </w:r>
      <w:proofErr w:type="spellEnd"/>
      <w:r w:rsidRPr="00BD78B0">
        <w:rPr>
          <w:rFonts w:ascii="Times New Roman" w:eastAsia="Times New Roman" w:hAnsi="Times New Roman" w:cs="Times New Roman"/>
          <w:sz w:val="20"/>
          <w:szCs w:val="20"/>
          <w:lang w:val="en-US"/>
        </w:rPr>
        <w:t xml:space="preserve"> </w:t>
      </w:r>
      <w:proofErr w:type="spellStart"/>
      <w:r w:rsidRPr="00BD78B0">
        <w:rPr>
          <w:rFonts w:ascii="Times New Roman" w:eastAsia="Times New Roman" w:hAnsi="Times New Roman" w:cs="Times New Roman"/>
          <w:sz w:val="20"/>
          <w:szCs w:val="20"/>
          <w:lang w:val="en-US"/>
        </w:rPr>
        <w:t>stronie</w:t>
      </w:r>
      <w:proofErr w:type="spellEnd"/>
      <w:r w:rsidRPr="00BD78B0">
        <w:rPr>
          <w:rFonts w:ascii="Times New Roman" w:eastAsia="Times New Roman" w:hAnsi="Times New Roman" w:cs="Times New Roman"/>
          <w:sz w:val="20"/>
          <w:szCs w:val="20"/>
          <w:lang w:val="en-US"/>
        </w:rPr>
        <w:t xml:space="preserve">: </w:t>
      </w:r>
      <w:hyperlink r:id="rId3">
        <w:r w:rsidRPr="00BD78B0">
          <w:rPr>
            <w:rFonts w:ascii="Times New Roman" w:eastAsia="Times New Roman" w:hAnsi="Times New Roman" w:cs="Times New Roman"/>
            <w:color w:val="1155CC"/>
            <w:sz w:val="20"/>
            <w:szCs w:val="20"/>
            <w:u w:val="single"/>
            <w:lang w:val="en-US"/>
          </w:rPr>
          <w:t>https:///www.who.int/publications/i/item/97892400</w:t>
        </w:r>
        <w:r w:rsidRPr="00BD78B0">
          <w:rPr>
            <w:rFonts w:ascii="Times New Roman" w:eastAsia="Times New Roman" w:hAnsi="Times New Roman" w:cs="Times New Roman"/>
            <w:color w:val="1155CC"/>
            <w:sz w:val="20"/>
            <w:szCs w:val="20"/>
            <w:u w:val="single"/>
            <w:lang w:val="en-US"/>
          </w:rPr>
          <w:t>39483</w:t>
        </w:r>
      </w:hyperlink>
      <w:r w:rsidRPr="00BD78B0">
        <w:rPr>
          <w:rFonts w:ascii="Times New Roman" w:eastAsia="Times New Roman" w:hAnsi="Times New Roman" w:cs="Times New Roman"/>
          <w:sz w:val="20"/>
          <w:szCs w:val="20"/>
          <w:lang w:val="en-US"/>
        </w:rPr>
        <w:t xml:space="preserve">. </w:t>
      </w:r>
    </w:p>
  </w:footnote>
  <w:footnote w:id="7">
    <w:p w14:paraId="0000004E"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Komitet Praw Człowieka ONZ, Komentarz ogólny nr 36, ust. 8, CCPR/C/GC/36 (2018).</w:t>
      </w:r>
    </w:p>
  </w:footnote>
  <w:footnote w:id="8">
    <w:p w14:paraId="0000004F"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Komitet Praw Człowieka ONZ, </w:t>
      </w:r>
      <w:proofErr w:type="spellStart"/>
      <w:r>
        <w:rPr>
          <w:rFonts w:ascii="Times New Roman" w:eastAsia="Times New Roman" w:hAnsi="Times New Roman" w:cs="Times New Roman"/>
          <w:sz w:val="20"/>
          <w:szCs w:val="20"/>
        </w:rPr>
        <w:t>Mellet</w:t>
      </w:r>
      <w:proofErr w:type="spellEnd"/>
      <w:r>
        <w:rPr>
          <w:rFonts w:ascii="Times New Roman" w:eastAsia="Times New Roman" w:hAnsi="Times New Roman" w:cs="Times New Roman"/>
          <w:sz w:val="20"/>
          <w:szCs w:val="20"/>
        </w:rPr>
        <w:t xml:space="preserve"> przeciwko Irlandii, CCPR/C/116/D/2324/2013; </w:t>
      </w:r>
      <w:proofErr w:type="spellStart"/>
      <w:r>
        <w:rPr>
          <w:rFonts w:ascii="Times New Roman" w:eastAsia="Times New Roman" w:hAnsi="Times New Roman" w:cs="Times New Roman"/>
          <w:sz w:val="20"/>
          <w:szCs w:val="20"/>
        </w:rPr>
        <w:t>Whelan</w:t>
      </w:r>
      <w:proofErr w:type="spellEnd"/>
      <w:r>
        <w:rPr>
          <w:rFonts w:ascii="Times New Roman" w:eastAsia="Times New Roman" w:hAnsi="Times New Roman" w:cs="Times New Roman"/>
          <w:sz w:val="20"/>
          <w:szCs w:val="20"/>
        </w:rPr>
        <w:t xml:space="preserve"> przeciwko Irlandii, CCPR/C/119/D/2425/2014.</w:t>
      </w:r>
    </w:p>
  </w:footnote>
  <w:footnote w:id="9">
    <w:p w14:paraId="00000050"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CESCR, komentarz ogólny nr 22.</w:t>
      </w:r>
    </w:p>
  </w:footnote>
  <w:footnote w:id="10">
    <w:p w14:paraId="00000051"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Zob. np. zalecenie ogólne nr 24, 13, 26, 31(c). CEDAW, Postępowanie wyjaśniające dotyczące Zjednoczonego Królestwa Wielkiej Brytanii i Irlandii Północnej dot. art. 8 Protokołu fakultatywnego do Konwencji w sprawie likwidacji wszelkich form dyskryminacji </w:t>
      </w:r>
      <w:r>
        <w:rPr>
          <w:rFonts w:ascii="Times New Roman" w:eastAsia="Times New Roman" w:hAnsi="Times New Roman" w:cs="Times New Roman"/>
          <w:sz w:val="20"/>
          <w:szCs w:val="20"/>
        </w:rPr>
        <w:t>kobiet, CEDAW/C/OP.8/GBR/1, L.C. przeciwko Peru, CEDAW/C/50/D/22/2009.</w:t>
      </w:r>
    </w:p>
  </w:footnote>
  <w:footnote w:id="11">
    <w:p w14:paraId="00000052"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https://documents-dds-ny.un.org/doc/UNDOC/GEN/G19/257/10/PDF/G1925710.pdf?Open</w:t>
        </w:r>
        <w:r>
          <w:rPr>
            <w:rFonts w:ascii="Times New Roman" w:eastAsia="Times New Roman" w:hAnsi="Times New Roman" w:cs="Times New Roman"/>
            <w:color w:val="1155CC"/>
            <w:sz w:val="20"/>
            <w:szCs w:val="20"/>
            <w:u w:val="single"/>
          </w:rPr>
          <w:t>Element</w:t>
        </w:r>
      </w:hyperlink>
      <w:r>
        <w:rPr>
          <w:rFonts w:ascii="Times New Roman" w:eastAsia="Times New Roman" w:hAnsi="Times New Roman" w:cs="Times New Roman"/>
          <w:sz w:val="20"/>
          <w:szCs w:val="20"/>
        </w:rPr>
        <w:t xml:space="preserve"> </w:t>
      </w:r>
    </w:p>
  </w:footnote>
  <w:footnote w:id="12">
    <w:p w14:paraId="00000053"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CEDAW, Postępowanie wyjaśniające dotyczące Zjednoczonego Królestwa Wielkiej Brytanii i Irlandii Północnej dot. art. 8 Protokołu fakultatywnego do Konwencji w sprawie likwidacji wszelkich form dyskryminacji kobiet, CEDAW/C/OP.8/GBR/1 (2018), ust.</w:t>
      </w:r>
      <w:r>
        <w:rPr>
          <w:rFonts w:ascii="Times New Roman" w:eastAsia="Times New Roman" w:hAnsi="Times New Roman" w:cs="Times New Roman"/>
          <w:sz w:val="20"/>
          <w:szCs w:val="20"/>
        </w:rPr>
        <w:t xml:space="preserve"> 68</w:t>
      </w:r>
    </w:p>
  </w:footnote>
  <w:footnote w:id="13">
    <w:p w14:paraId="00000054"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Rezolucja Parlamentu Europejskiego z dnia 11 listopada 2021 r. w sprawie pierwszej rocznicy faktycznego zakazu aborcji w Polsce (2021/2925(RSP)), </w:t>
      </w:r>
      <w:hyperlink r:id="rId5">
        <w:r>
          <w:rPr>
            <w:rFonts w:ascii="Times New Roman" w:eastAsia="Times New Roman" w:hAnsi="Times New Roman" w:cs="Times New Roman"/>
            <w:color w:val="1155CC"/>
            <w:sz w:val="20"/>
            <w:szCs w:val="20"/>
            <w:u w:val="single"/>
          </w:rPr>
          <w:t>https://europarl.eu</w:t>
        </w:r>
        <w:r>
          <w:rPr>
            <w:rFonts w:ascii="Times New Roman" w:eastAsia="Times New Roman" w:hAnsi="Times New Roman" w:cs="Times New Roman"/>
            <w:color w:val="1155CC"/>
            <w:sz w:val="20"/>
            <w:szCs w:val="20"/>
            <w:u w:val="single"/>
          </w:rPr>
          <w:t>ropa.eu./doceo/document/TA-9-2021-0455_PL.html</w:t>
        </w:r>
      </w:hyperlink>
      <w:r>
        <w:rPr>
          <w:rFonts w:ascii="Times New Roman" w:eastAsia="Times New Roman" w:hAnsi="Times New Roman" w:cs="Times New Roman"/>
          <w:sz w:val="20"/>
          <w:szCs w:val="20"/>
        </w:rPr>
        <w:t xml:space="preserve"> </w:t>
      </w:r>
    </w:p>
  </w:footnote>
  <w:footnote w:id="14">
    <w:p w14:paraId="00000055"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6">
        <w:r>
          <w:rPr>
            <w:rFonts w:ascii="Times New Roman" w:eastAsia="Times New Roman" w:hAnsi="Times New Roman" w:cs="Times New Roman"/>
            <w:color w:val="1155CC"/>
            <w:sz w:val="20"/>
            <w:szCs w:val="20"/>
            <w:u w:val="single"/>
          </w:rPr>
          <w:t>https://hudoc.echr.coe.int/eng-press?i=003-195245202961288</w:t>
        </w:r>
      </w:hyperlink>
      <w:r>
        <w:rPr>
          <w:rFonts w:ascii="Times New Roman" w:eastAsia="Times New Roman" w:hAnsi="Times New Roman" w:cs="Times New Roman"/>
          <w:sz w:val="20"/>
          <w:szCs w:val="20"/>
        </w:rPr>
        <w:t xml:space="preserve"> </w:t>
      </w:r>
    </w:p>
  </w:footnote>
  <w:footnote w:id="15">
    <w:p w14:paraId="00000056"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7">
        <w:r>
          <w:rPr>
            <w:rFonts w:ascii="Times New Roman" w:eastAsia="Times New Roman" w:hAnsi="Times New Roman" w:cs="Times New Roman"/>
            <w:color w:val="1155CC"/>
            <w:sz w:val="20"/>
            <w:szCs w:val="20"/>
            <w:u w:val="single"/>
          </w:rPr>
          <w:t>https://hudoc.echr.coe.int/eng-press?i=003-4140612-4882633</w:t>
        </w:r>
      </w:hyperlink>
      <w:r>
        <w:rPr>
          <w:rFonts w:ascii="Times New Roman" w:eastAsia="Times New Roman" w:hAnsi="Times New Roman" w:cs="Times New Roman"/>
          <w:sz w:val="20"/>
          <w:szCs w:val="20"/>
        </w:rPr>
        <w:t xml:space="preserve"> </w:t>
      </w:r>
    </w:p>
  </w:footnote>
  <w:footnote w:id="16">
    <w:p w14:paraId="00000057"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8">
        <w:r>
          <w:rPr>
            <w:rFonts w:ascii="Times New Roman" w:eastAsia="Times New Roman" w:hAnsi="Times New Roman" w:cs="Times New Roman"/>
            <w:color w:val="1155CC"/>
            <w:sz w:val="20"/>
            <w:szCs w:val="20"/>
            <w:u w:val="single"/>
          </w:rPr>
          <w:t>https://hudoc.echr.coe.int/fre?i=001-104911</w:t>
        </w:r>
      </w:hyperlink>
      <w:r>
        <w:rPr>
          <w:rFonts w:ascii="Times New Roman" w:eastAsia="Times New Roman" w:hAnsi="Times New Roman" w:cs="Times New Roman"/>
          <w:sz w:val="20"/>
          <w:szCs w:val="20"/>
        </w:rPr>
        <w:t xml:space="preserve"> </w:t>
      </w:r>
    </w:p>
  </w:footnote>
  <w:footnote w:id="17">
    <w:p w14:paraId="00000058" w14:textId="77777777" w:rsidR="00EE3261" w:rsidRDefault="004F254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9">
        <w:r>
          <w:rPr>
            <w:rFonts w:ascii="Times New Roman" w:eastAsia="Times New Roman" w:hAnsi="Times New Roman" w:cs="Times New Roman"/>
            <w:color w:val="1155CC"/>
            <w:sz w:val="20"/>
            <w:szCs w:val="20"/>
            <w:u w:val="single"/>
          </w:rPr>
          <w:t>https://hudoc.echr.coe.int/?i=001-229424</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412680"/>
      <w:docPartObj>
        <w:docPartGallery w:val="Page Numbers (Top of Page)"/>
        <w:docPartUnique/>
      </w:docPartObj>
    </w:sdtPr>
    <w:sdtContent>
      <w:p w14:paraId="516319DA" w14:textId="5683BE37" w:rsidR="007F67B1" w:rsidRDefault="007F67B1">
        <w:pPr>
          <w:pStyle w:val="Nagwek"/>
          <w:jc w:val="right"/>
        </w:pPr>
        <w:r>
          <w:fldChar w:fldCharType="begin"/>
        </w:r>
        <w:r>
          <w:instrText>PAGE   \* MERGEFORMAT</w:instrText>
        </w:r>
        <w:r>
          <w:fldChar w:fldCharType="separate"/>
        </w:r>
        <w:r w:rsidR="004F254C" w:rsidRPr="004F254C">
          <w:rPr>
            <w:noProof/>
            <w:lang w:val="pl-PL"/>
          </w:rPr>
          <w:t>13</w:t>
        </w:r>
        <w:r>
          <w:fldChar w:fldCharType="end"/>
        </w:r>
      </w:p>
    </w:sdtContent>
  </w:sdt>
  <w:p w14:paraId="14A1036F" w14:textId="77777777" w:rsidR="007F67B1" w:rsidRDefault="007F67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AC4"/>
    <w:multiLevelType w:val="multilevel"/>
    <w:tmpl w:val="455AF28E"/>
    <w:lvl w:ilvl="0">
      <w:start w:val="1"/>
      <w:numFmt w:val="decimal"/>
      <w:lvlText w:val="%1)"/>
      <w:lvlJc w:val="left"/>
      <w:pPr>
        <w:ind w:left="720" w:hanging="720"/>
      </w:pPr>
      <w:rPr>
        <w:u w:val="none"/>
      </w:rPr>
    </w:lvl>
    <w:lvl w:ilvl="1">
      <w:start w:val="1"/>
      <w:numFmt w:val="lowerLetter"/>
      <w:lvlText w:val="%2)"/>
      <w:lvlJc w:val="left"/>
      <w:pPr>
        <w:ind w:left="1440" w:hanging="72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CD2467"/>
    <w:multiLevelType w:val="multilevel"/>
    <w:tmpl w:val="75FCD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61"/>
    <w:rsid w:val="004F254C"/>
    <w:rsid w:val="00761D71"/>
    <w:rsid w:val="007F67B1"/>
    <w:rsid w:val="00865E7A"/>
    <w:rsid w:val="008D599C"/>
    <w:rsid w:val="00BD78B0"/>
    <w:rsid w:val="00CA3438"/>
    <w:rsid w:val="00ED2588"/>
    <w:rsid w:val="00EE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C0AA"/>
  <w15:docId w15:val="{415C0D3F-B68C-4D62-B7AC-AF52692D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7F67B1"/>
    <w:pPr>
      <w:tabs>
        <w:tab w:val="center" w:pos="4536"/>
        <w:tab w:val="right" w:pos="9072"/>
      </w:tabs>
      <w:spacing w:line="240" w:lineRule="auto"/>
    </w:pPr>
  </w:style>
  <w:style w:type="character" w:customStyle="1" w:styleId="NagwekZnak">
    <w:name w:val="Nagłówek Znak"/>
    <w:basedOn w:val="Domylnaczcionkaakapitu"/>
    <w:link w:val="Nagwek"/>
    <w:uiPriority w:val="99"/>
    <w:rsid w:val="007F67B1"/>
  </w:style>
  <w:style w:type="paragraph" w:styleId="Stopka">
    <w:name w:val="footer"/>
    <w:basedOn w:val="Normalny"/>
    <w:link w:val="StopkaZnak"/>
    <w:uiPriority w:val="99"/>
    <w:unhideWhenUsed/>
    <w:rsid w:val="007F67B1"/>
    <w:pPr>
      <w:tabs>
        <w:tab w:val="center" w:pos="4536"/>
        <w:tab w:val="right" w:pos="9072"/>
      </w:tabs>
      <w:spacing w:line="240" w:lineRule="auto"/>
    </w:pPr>
  </w:style>
  <w:style w:type="character" w:customStyle="1" w:styleId="StopkaZnak">
    <w:name w:val="Stopka Znak"/>
    <w:basedOn w:val="Domylnaczcionkaakapitu"/>
    <w:link w:val="Stopka"/>
    <w:uiPriority w:val="99"/>
    <w:rsid w:val="007F67B1"/>
  </w:style>
  <w:style w:type="paragraph" w:styleId="Tekstdymka">
    <w:name w:val="Balloon Text"/>
    <w:basedOn w:val="Normalny"/>
    <w:link w:val="TekstdymkaZnak"/>
    <w:uiPriority w:val="99"/>
    <w:semiHidden/>
    <w:unhideWhenUsed/>
    <w:rsid w:val="004F254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fre?i=001-104911" TargetMode="External"/><Relationship Id="rId3" Type="http://schemas.openxmlformats.org/officeDocument/2006/relationships/hyperlink" Target="about:blank" TargetMode="External"/><Relationship Id="rId7" Type="http://schemas.openxmlformats.org/officeDocument/2006/relationships/hyperlink" Target="https://hudoc.echr.coe.int/eng-press?i=003-4140612-4882633" TargetMode="External"/><Relationship Id="rId2" Type="http://schemas.openxmlformats.org/officeDocument/2006/relationships/hyperlink" Target="https://hudoc.echr.coe.int/fre?=i=001-104911" TargetMode="External"/><Relationship Id="rId1" Type="http://schemas.openxmlformats.org/officeDocument/2006/relationships/hyperlink" Target="https://vibez.pl/wydarzenia/aborcja-bez-granic-44-tys-polek-dokonalo-aborcji-w-ciagu-dwoch-lat-najmlodsza-to-14-latka-6825336121793440a" TargetMode="External"/><Relationship Id="rId6" Type="http://schemas.openxmlformats.org/officeDocument/2006/relationships/hyperlink" Target="https://hudoc.echr.coe.int/eng-press?i=003-195245202961288" TargetMode="External"/><Relationship Id="rId5" Type="http://schemas.openxmlformats.org/officeDocument/2006/relationships/hyperlink" Target="https://europarl.europa.eu./doceo/document/TA-9-2021-0455_PL.html" TargetMode="External"/><Relationship Id="rId4" Type="http://schemas.openxmlformats.org/officeDocument/2006/relationships/hyperlink" Target="https://documents-dds-ny.un.org/doc/UNDOC/GEN/G19/257/10/PDF/G1925710.pdf?OpenElement" TargetMode="External"/><Relationship Id="rId9" Type="http://schemas.openxmlformats.org/officeDocument/2006/relationships/hyperlink" Target="https://hudoc.echr.coe.int/?i=001-229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4300</Words>
  <Characters>25805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Smoręda</dc:creator>
  <cp:lastModifiedBy>Agnieszka Smoręda</cp:lastModifiedBy>
  <cp:revision>7</cp:revision>
  <cp:lastPrinted>2024-07-24T16:03:00Z</cp:lastPrinted>
  <dcterms:created xsi:type="dcterms:W3CDTF">2024-07-24T15:57:00Z</dcterms:created>
  <dcterms:modified xsi:type="dcterms:W3CDTF">2024-07-24T16:18:00Z</dcterms:modified>
</cp:coreProperties>
</file>